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熊本県熊本市中央区世安町558の1 グランテージ世安807。以下「受託者」といいます）は、動画編集の業務委託について、次のとおり契約します。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{{要確認}}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{{要確認}}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{{要確認}}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{{要確認}}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{{要確認}}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{{要確認}}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{{要確認}}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</w:t>
      </w:r>
      <w:r>
        <w:rPr>
          <w:highlight w:val="yellow"/>
          <w:highlightCs w:val="yellow"/>
        </w:rPr>
        <w:t xml:space="preserve">{{要確認}}</w:t>
      </w:r>
      <w:r>
        <w:t xml:space="preserve">日から1年間とします。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期間が終わる30日前までに、委託者と受託者のどちらからも更新しない旨の通知がないときは、本契約は同じ条件で1年間更新され、以降も同様とします。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{{要確認}}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{{要確認}}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本契約に関して争いが生じたときは、東京地方裁判所を第一審の専属的合意管轄裁判所とします。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{{要確認}}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熊本県熊本市中央区世安町558の1 グランテージ世安807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2026-10-16T14:59:48.683Z</dcterms:created>
  <dcterms:modified xsi:type="dcterms:W3CDTF">2026-10-16T14:59:48.683Z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