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単価は、消費税等を含まない金額（税別）です。受託者は、適格請求書発行事業者（インボイス登録事業者）ではありません。消費税等の取扱いは、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受託者は、毎月末日で締め、その期間に納品した成果物（検収に合格したもの）の本数と金額をまとめた請求書を、翌月5日までに、メールやSlackなどの電磁的方法で委託者に送ります。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報酬の支払期日は、締め日の翌月末日とします。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委託者が支払期日までに支払わないときは、支払期日の翌日から支払済みまで、年14.6％の割合による遅延損害金を支払います。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納期は、個別発注で示された日時（日本時間）です。示されていないときは、素材と編集指示が揃ってから3営業日以内を納期とします。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委託者は、納品日から3営業日以内に、成果物が個別発注の内容に合っているかを確認し、「合格」または「修正してほしい点」を受託者に知らせます。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2回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この条の義務は、本契約が終了したあとも、3年間続きます。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本契約の期間は、2026年11月1日から1年間とします。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期間が終わる30日前までに、委託者と受託者のどちらからも更新しない旨の通知がないときは、本契約は同じ条件で1年間更新され、以降も同様とします。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委託者と受託者は、30日前までに、相手方へ書面（電磁的方法を含みます）で予告することで、期間の途中でも本契約を解約できます。ただし、委託者による解約の予告は、30日以上前に行います。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受託者が負う損害賠償の額は、当該個別発注の報酬額を上限とします。ただし、受託者の故意または重大な過失による場合は、この限りではありません。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本契約に関して争いが生じたときは、東京地方裁判所を第一審の専属的合意管轄裁判所とします。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委託者が指定する電子契約サービス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2026-10-16T15:12:36.834Z</dcterms:created>
  <dcterms:modified xsi:type="dcterms:W3CDTF">2026-10-16T15:12:36.834Z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