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Inter" w:hAnsi="Inter" w:eastAsia="Inter"/>
          <w:b/>
          <w:color w:val="1E4D3B"/>
          <w:sz w:val="62"/>
        </w:rPr>
        <w:t>VAGA LÚMEN</w:t>
      </w:r>
    </w:p>
    <w:p>
      <w:pPr>
        <w:spacing w:after="100"/>
      </w:pPr>
      <w:r>
        <w:rPr>
          <w:rFonts w:ascii="Inter" w:hAnsi="Inter" w:eastAsia="Inter"/>
          <w:b/>
          <w:color w:val="1C6B73"/>
          <w:sz w:val="31"/>
        </w:rPr>
        <w:t>Educação itinerante para regenerar territórios</w:t>
      </w:r>
    </w:p>
    <w:p>
      <w:pPr>
        <w:spacing w:after="240"/>
      </w:pPr>
      <w:r>
        <w:rPr>
          <w:rFonts w:ascii="Inter" w:hAnsi="Inter" w:eastAsia="Inter"/>
          <w:color w:val="5C6661"/>
          <w:sz w:val="21"/>
        </w:rPr>
        <w:t>Proposta de financiamento | Piloto de validação e escala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372000" cy="34760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3476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right"/>
      </w:pPr>
      <w:r>
        <w:rPr>
          <w:rFonts w:ascii="Inter" w:hAnsi="Inter" w:eastAsia="Inter"/>
          <w:i/>
          <w:color w:val="5C6661"/>
          <w:sz w:val="14"/>
        </w:rPr>
        <w:t>Visual conceitual da unidade terrestre.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  <w:cantSplit/>
          <w:cantSplit/>
          <w:cantSplit/>
        </w:trPr>
        <w:tc>
          <w:tcPr>
            <w:tcW w:type="dxa" w:w="2522"/>
            <w:shd w:fill="1E4D3B" w:val="clear"/>
            <w:tcMar>
              <w:top w:w="190" w:type="dxa"/>
              <w:start w:w="120" w:type="dxa"/>
              <w:bottom w:w="190" w:type="dxa"/>
              <w:end w:w="120" w:type="dxa"/>
            </w:tcMar>
          </w:tcPr>
          <w:p>
            <w:pPr>
              <w:spacing w:after="60"/>
              <w:jc w:val="center"/>
            </w:pPr>
            <w:r>
              <w:rPr>
                <w:rFonts w:ascii="Inter" w:hAnsi="Inter" w:eastAsia="Inter"/>
                <w:b/>
                <w:color w:val="FFFFFF"/>
                <w:sz w:val="32"/>
              </w:rPr>
              <w:t>R$ 85 mil</w:t>
            </w:r>
          </w:p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aporte prioritário</w:t>
            </w:r>
          </w:p>
        </w:tc>
        <w:tc>
          <w:tcPr>
            <w:tcW w:type="dxa" w:w="2522"/>
            <w:shd w:fill="1C6B73" w:val="clear"/>
            <w:tcMar>
              <w:top w:w="190" w:type="dxa"/>
              <w:start w:w="120" w:type="dxa"/>
              <w:bottom w:w="190" w:type="dxa"/>
              <w:end w:w="120" w:type="dxa"/>
            </w:tcMar>
          </w:tcPr>
          <w:p>
            <w:pPr>
              <w:spacing w:after="60"/>
              <w:jc w:val="center"/>
            </w:pPr>
            <w:r>
              <w:rPr>
                <w:rFonts w:ascii="Inter" w:hAnsi="Inter" w:eastAsia="Inter"/>
                <w:b/>
                <w:color w:val="FFFFFF"/>
                <w:sz w:val="32"/>
              </w:rPr>
              <w:t>6 meses</w:t>
            </w:r>
          </w:p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duração do piloto</w:t>
            </w:r>
          </w:p>
        </w:tc>
        <w:tc>
          <w:tcPr>
            <w:tcW w:type="dxa" w:w="2522"/>
            <w:shd w:fill="1C6B73" w:val="clear"/>
            <w:tcMar>
              <w:top w:w="190" w:type="dxa"/>
              <w:start w:w="120" w:type="dxa"/>
              <w:bottom w:w="190" w:type="dxa"/>
              <w:end w:w="120" w:type="dxa"/>
            </w:tcMar>
          </w:tcPr>
          <w:p>
            <w:pPr>
              <w:spacing w:after="60"/>
              <w:jc w:val="center"/>
            </w:pPr>
            <w:r>
              <w:rPr>
                <w:rFonts w:ascii="Inter" w:hAnsi="Inter" w:eastAsia="Inter"/>
                <w:b/>
                <w:color w:val="FFFFFF"/>
                <w:sz w:val="32"/>
              </w:rPr>
              <w:t>8</w:t>
            </w:r>
          </w:p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ativações comunitárias</w:t>
            </w:r>
          </w:p>
        </w:tc>
        <w:tc>
          <w:tcPr>
            <w:tcW w:type="dxa" w:w="2522"/>
            <w:shd w:fill="1C6B73" w:val="clear"/>
            <w:tcMar>
              <w:top w:w="190" w:type="dxa"/>
              <w:start w:w="120" w:type="dxa"/>
              <w:bottom w:w="190" w:type="dxa"/>
              <w:end w:w="120" w:type="dxa"/>
            </w:tcMar>
          </w:tcPr>
          <w:p>
            <w:pPr>
              <w:spacing w:after="60"/>
              <w:jc w:val="center"/>
            </w:pPr>
            <w:r>
              <w:rPr>
                <w:rFonts w:ascii="Inter" w:hAnsi="Inter" w:eastAsia="Inter"/>
                <w:b/>
                <w:color w:val="FFFFFF"/>
                <w:sz w:val="32"/>
              </w:rPr>
              <w:t>160</w:t>
            </w:r>
          </w:p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participantes diretos</w:t>
            </w:r>
          </w:p>
        </w:tc>
      </w:tr>
    </w:tbl>
    <w:p>
      <w:pPr>
        <w:spacing w:after="0" w:before="0" w:line="100" w:lineRule="exact"/>
      </w:pPr>
      <w:r>
        <w:rPr>
          <w:rFonts w:ascii="Inter" w:hAnsi="Inter" w:eastAsia="Inter"/>
          <w:sz w:val="2"/>
        </w:rPr>
        <w:t xml:space="preserve"> </w:t>
      </w:r>
    </w:p>
    <w:p>
      <w:pPr>
        <w:spacing w:after="60"/>
        <w:jc w:val="center"/>
      </w:pPr>
      <w:r>
        <w:rPr>
          <w:rFonts w:ascii="Inter" w:hAnsi="Inter" w:eastAsia="Inter"/>
          <w:b/>
          <w:color w:val="1E4D3B"/>
          <w:sz w:val="19"/>
        </w:rPr>
        <w:t>Visão de longo prazo: bicicletas de carga + ônibus-escola + unidade fluvial.</w:t>
      </w:r>
    </w:p>
    <w:p>
      <w:pPr>
        <w:spacing w:after="0"/>
        <w:jc w:val="center"/>
      </w:pPr>
      <w:r>
        <w:rPr>
          <w:rFonts w:ascii="Inter" w:hAnsi="Inter" w:eastAsia="Inter"/>
          <w:color w:val="A33A2B"/>
          <w:sz w:val="16"/>
        </w:rPr>
        <w:t>[NOME DO PROPONENTE]  |  [CNPJ/ORGANIZAÇÃO]  |  [CIDADE/UF]  |  [E-MAIL]  |  [TELEFONE]</w:t>
      </w:r>
    </w:p>
    <w:p>
      <w:r>
        <w:br w:type="page"/>
      </w:r>
    </w:p>
    <w:p>
      <w:pPr>
        <w:keepNext/>
        <w:spacing w:before="0" w:after="100"/>
      </w:pPr>
      <w:r>
        <w:rPr>
          <w:rFonts w:ascii="Inter" w:hAnsi="Inter" w:eastAsia="Inter"/>
          <w:b/>
          <w:color w:val="E3A32B"/>
          <w:sz w:val="22"/>
        </w:rPr>
        <w:t xml:space="preserve">01  </w:t>
      </w:r>
      <w:r>
        <w:rPr>
          <w:rFonts w:ascii="Inter" w:hAnsi="Inter" w:eastAsia="Inter"/>
          <w:b/>
          <w:color w:val="1E4D3B"/>
          <w:sz w:val="40"/>
        </w:rPr>
        <w:t>O caso de investimento em 60 segundos</w:t>
      </w:r>
    </w:p>
    <w:p>
      <w:pPr>
        <w:keepNext/>
        <w:spacing w:after="200"/>
      </w:pPr>
      <w:r>
        <w:rPr>
          <w:rFonts w:ascii="Inter" w:hAnsi="Inter" w:eastAsia="Inter"/>
          <w:b/>
          <w:color w:val="1C6B73"/>
          <w:sz w:val="18"/>
        </w:rPr>
        <w:t>UMA PROPOSTA MAIS FOCADA, MENSURÁVEL E ESCALÁVEL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</w:tblGrid>
      <w:tr>
        <w:tc>
          <w:tcPr>
            <w:tcW w:type="dxa" w:w="10092"/>
            <w:shd w:fill="E3A32B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Inter" w:hAnsi="Inter" w:eastAsia="Inter"/>
                <w:sz w:val="2"/>
              </w:rPr>
            </w:r>
          </w:p>
        </w:tc>
      </w:tr>
    </w:tbl>
    <w:p>
      <w:pPr>
        <w:spacing w:after="40"/>
      </w:pPr>
    </w:p>
    <w:p>
      <w:pPr>
        <w:spacing w:before="0" w:after="120" w:line="269" w:lineRule="auto"/>
      </w:pPr>
      <w:r>
        <w:rPr>
          <w:rFonts w:ascii="Inter" w:hAnsi="Inter" w:eastAsia="Inter"/>
          <w:i w:val="0"/>
          <w:color w:val="1E2A25"/>
          <w:sz w:val="20"/>
        </w:rPr>
        <w:t>O Vaga Lúmen transforma estruturas móveis em laboratórios de aprendizagem prática sobre água, energia, solo, alimentos e organização comunitária. A proposta preserva a visão multimodal do projeto original, mas reduz o risco de execução ao começar por um piloto urbano de seis meses com três bicicletas de carga, antes da aquisição do ônibus e do barco.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288"/>
            <w:shd w:fill="E7F0EA" w:val="clear"/>
            <w:tcBorders>
              <w:top w:val="single" w:sz="5" w:color="D9E0DC"/>
              <w:left w:val="single" w:sz="5" w:color="D9E0DC"/>
              <w:bottom w:val="single" w:sz="5" w:color="D9E0DC"/>
              <w:right w:val="single" w:sz="5" w:color="D9E0DC"/>
            </w:tcBorders>
            <w:tcMar>
              <w:top w:w="170" w:type="dxa"/>
              <w:start w:w="160" w:type="dxa"/>
              <w:bottom w:w="170" w:type="dxa"/>
              <w:end w:w="160" w:type="dxa"/>
            </w:tcMar>
          </w:tcPr>
          <w:p>
            <w:pPr>
              <w:spacing w:after="60"/>
            </w:pPr>
            <w:r>
              <w:rPr>
                <w:rFonts w:ascii="Inter" w:hAnsi="Inter" w:eastAsia="Inter"/>
                <w:b/>
                <w:color w:val="1C6B73"/>
                <w:sz w:val="15"/>
              </w:rPr>
              <w:t>DESAFIO</w:t>
            </w:r>
          </w:p>
          <w:p>
            <w:pPr>
              <w:spacing w:after="100"/>
            </w:pPr>
            <w:r>
              <w:rPr>
                <w:rFonts w:ascii="Inter" w:hAnsi="Inter" w:eastAsia="Inter"/>
                <w:b/>
                <w:color w:val="1E4D3B"/>
                <w:sz w:val="22"/>
              </w:rPr>
              <w:t>Acesso desigual</w:t>
            </w:r>
          </w:p>
          <w:p>
            <w:pPr>
              <w:spacing w:after="0" w:line="252" w:lineRule="auto"/>
            </w:pPr>
            <w:r>
              <w:rPr>
                <w:rFonts w:ascii="Inter" w:hAnsi="Inter" w:eastAsia="Inter"/>
                <w:color w:val="1E2A25"/>
                <w:sz w:val="17"/>
              </w:rPr>
              <w:t>Conhecimentos e tecnologias ecológicas práticas não chegam com a mesma frequência a periferias, escolas públicas e comunidades tradicionais.</w:t>
            </w:r>
          </w:p>
        </w:tc>
        <w:tc>
          <w:tcPr>
            <w:tcW w:type="dxa" w:w="3288"/>
            <w:shd w:fill="E9F0F2" w:val="clear"/>
            <w:tcBorders>
              <w:top w:val="single" w:sz="5" w:color="D9E0DC"/>
              <w:left w:val="single" w:sz="5" w:color="D9E0DC"/>
              <w:bottom w:val="single" w:sz="5" w:color="D9E0DC"/>
              <w:right w:val="single" w:sz="5" w:color="D9E0DC"/>
            </w:tcBorders>
            <w:tcMar>
              <w:top w:w="170" w:type="dxa"/>
              <w:start w:w="160" w:type="dxa"/>
              <w:bottom w:w="170" w:type="dxa"/>
              <w:end w:w="160" w:type="dxa"/>
            </w:tcMar>
          </w:tcPr>
          <w:p>
            <w:pPr>
              <w:spacing w:after="60"/>
            </w:pPr>
            <w:r>
              <w:rPr>
                <w:rFonts w:ascii="Inter" w:hAnsi="Inter" w:eastAsia="Inter"/>
                <w:b/>
                <w:color w:val="1C6B73"/>
                <w:sz w:val="15"/>
              </w:rPr>
              <w:t>RESPOSTA</w:t>
            </w:r>
          </w:p>
          <w:p>
            <w:pPr>
              <w:spacing w:after="100"/>
            </w:pPr>
            <w:r>
              <w:rPr>
                <w:rFonts w:ascii="Inter" w:hAnsi="Inter" w:eastAsia="Inter"/>
                <w:b/>
                <w:color w:val="1E4D3B"/>
                <w:sz w:val="22"/>
              </w:rPr>
              <w:t>Escola que vai ao território</w:t>
            </w:r>
          </w:p>
          <w:p>
            <w:pPr>
              <w:spacing w:after="0" w:line="252" w:lineRule="auto"/>
            </w:pPr>
            <w:r>
              <w:rPr>
                <w:rFonts w:ascii="Inter" w:hAnsi="Inter" w:eastAsia="Inter"/>
                <w:color w:val="1E2A25"/>
                <w:sz w:val="17"/>
              </w:rPr>
              <w:t>A unidade móvel leva equipe, ferramentas e demonstrações; articula parceiros locais e deixa uma solução prática acompanhada.</w:t>
            </w:r>
          </w:p>
        </w:tc>
        <w:tc>
          <w:tcPr>
            <w:tcW w:type="dxa" w:w="3288"/>
            <w:shd w:fill="F4F0E6" w:val="clear"/>
            <w:tcBorders>
              <w:top w:val="single" w:sz="5" w:color="D9E0DC"/>
              <w:left w:val="single" w:sz="5" w:color="D9E0DC"/>
              <w:bottom w:val="single" w:sz="5" w:color="D9E0DC"/>
              <w:right w:val="single" w:sz="5" w:color="D9E0DC"/>
            </w:tcBorders>
            <w:tcMar>
              <w:top w:w="170" w:type="dxa"/>
              <w:start w:w="160" w:type="dxa"/>
              <w:bottom w:w="170" w:type="dxa"/>
              <w:end w:w="160" w:type="dxa"/>
            </w:tcMar>
          </w:tcPr>
          <w:p>
            <w:pPr>
              <w:spacing w:after="60"/>
            </w:pPr>
            <w:r>
              <w:rPr>
                <w:rFonts w:ascii="Inter" w:hAnsi="Inter" w:eastAsia="Inter"/>
                <w:b/>
                <w:color w:val="1C6B73"/>
                <w:sz w:val="15"/>
              </w:rPr>
              <w:t>TESE DE ESCALA</w:t>
            </w:r>
          </w:p>
          <w:p>
            <w:pPr>
              <w:spacing w:after="100"/>
            </w:pPr>
            <w:r>
              <w:rPr>
                <w:rFonts w:ascii="Inter" w:hAnsi="Inter" w:eastAsia="Inter"/>
                <w:b/>
                <w:color w:val="1E4D3B"/>
                <w:sz w:val="22"/>
              </w:rPr>
              <w:t>Validar antes de imobilizar capital</w:t>
            </w:r>
          </w:p>
          <w:p>
            <w:pPr>
              <w:spacing w:after="0" w:line="252" w:lineRule="auto"/>
            </w:pPr>
            <w:r>
              <w:rPr>
                <w:rFonts w:ascii="Inter" w:hAnsi="Inter" w:eastAsia="Inter"/>
                <w:color w:val="1E2A25"/>
                <w:sz w:val="17"/>
              </w:rPr>
              <w:t>O piloto testa demanda, metodologia, custos, governança e indicadores. A frota maior só avança após metas objetivas.</w:t>
            </w:r>
          </w:p>
        </w:tc>
      </w:tr>
    </w:tbl>
    <w:p>
      <w:pPr>
        <w:spacing w:after="0" w:before="0" w:line="100" w:lineRule="exact"/>
      </w:pPr>
      <w:r>
        <w:rPr>
          <w:rFonts w:ascii="Inter" w:hAnsi="Inter" w:eastAsia="Inter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fill="F4F0E6" w:val="clear"/>
            <w:tcBorders>
              <w:top w:val="nil"/>
              <w:left w:val="single" w:sz="22" w:color="E3A32B"/>
              <w:bottom w:val="nil"/>
              <w:right w:val="nil"/>
            </w:tcBorders>
            <w:tcMar>
              <w:top w:w="150" w:type="dxa"/>
              <w:start w:w="21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Inter" w:hAnsi="Inter" w:eastAsia="Inter"/>
                <w:b/>
                <w:color w:val="1E4D3B"/>
                <w:sz w:val="21"/>
              </w:rPr>
              <w:t>Pedido de financiamento prioritário</w:t>
            </w:r>
          </w:p>
          <w:p>
            <w:pPr>
              <w:spacing w:after="0" w:line="259" w:lineRule="auto"/>
            </w:pPr>
            <w:r>
              <w:rPr>
                <w:rFonts w:ascii="Inter" w:hAnsi="Inter" w:eastAsia="Inter"/>
                <w:color w:val="1E2A25"/>
                <w:sz w:val="18"/>
              </w:rPr>
              <w:t>R$ 85.000 para executar o piloto de seis meses: aquisição de três cargo bikes e kits solares, oito ativações em quatro territórios, formação de 160 participantes, implantação de quatro soluções demonstrativas, monitoramento e prestação de contas.</w:t>
            </w:r>
          </w:p>
        </w:tc>
      </w:tr>
    </w:tbl>
    <w:p>
      <w:pPr>
        <w:spacing w:after="0" w:before="0" w:line="80" w:lineRule="exact"/>
      </w:pPr>
      <w:r>
        <w:rPr>
          <w:rFonts w:ascii="Inter" w:hAnsi="Inter" w:eastAsia="Inter"/>
          <w:sz w:val="2"/>
        </w:rPr>
        <w:t xml:space="preserve"> </w:t>
      </w:r>
    </w:p>
    <w:p>
      <w:pPr>
        <w:spacing w:before="0" w:after="120" w:line="269" w:lineRule="auto"/>
      </w:pPr>
      <w:r>
        <w:rPr>
          <w:rFonts w:ascii="Inter" w:hAnsi="Inter" w:eastAsia="Inter"/>
          <w:b/>
          <w:color w:val="1E2A25"/>
          <w:sz w:val="20"/>
        </w:rPr>
        <w:t>O que o financiador viabiliza</w:t>
      </w:r>
      <w:r>
        <w:rPr>
          <w:rFonts w:ascii="Inter" w:hAnsi="Inter" w:eastAsia="Inter"/>
          <w:i w:val="0"/>
          <w:color w:val="1E2A25"/>
          <w:sz w:val="20"/>
        </w:rPr>
      </w:r>
    </w:p>
    <w:p>
      <w:pPr>
        <w:pStyle w:val="ListBullet"/>
        <w:spacing w:after="40" w:line="252" w:lineRule="auto"/>
        <w:ind w:left="312" w:hanging="125"/>
      </w:pPr>
      <w:r>
        <w:rPr>
          <w:rFonts w:ascii="Inter" w:hAnsi="Inter" w:eastAsia="Inter"/>
          <w:b/>
          <w:color w:val="1E2A25"/>
          <w:sz w:val="19"/>
        </w:rPr>
        <w:t xml:space="preserve">Infraestrutura reutilizável: </w:t>
      </w:r>
      <w:r>
        <w:rPr>
          <w:rFonts w:ascii="Inter" w:hAnsi="Inter" w:eastAsia="Inter"/>
          <w:color w:val="1E2A25"/>
          <w:sz w:val="19"/>
        </w:rPr>
        <w:t>três bicicletas de carga, módulos de energia, sementes, ferramentas e materiais didáticos.</w:t>
      </w:r>
    </w:p>
    <w:p>
      <w:pPr>
        <w:pStyle w:val="ListBullet"/>
        <w:spacing w:after="40" w:line="252" w:lineRule="auto"/>
        <w:ind w:left="312" w:hanging="125"/>
      </w:pPr>
      <w:r>
        <w:rPr>
          <w:rFonts w:ascii="Inter" w:hAnsi="Inter" w:eastAsia="Inter"/>
          <w:b/>
          <w:color w:val="1E2A25"/>
          <w:sz w:val="19"/>
        </w:rPr>
        <w:t xml:space="preserve">Entrega territorial: </w:t>
      </w:r>
      <w:r>
        <w:rPr>
          <w:rFonts w:ascii="Inter" w:hAnsi="Inter" w:eastAsia="Inter"/>
          <w:color w:val="1E2A25"/>
          <w:sz w:val="19"/>
        </w:rPr>
        <w:t>oito ações com mobilização local, oficinas, alimentação, insumos e acompanhamento.</w:t>
      </w:r>
    </w:p>
    <w:p>
      <w:pPr>
        <w:pStyle w:val="ListBullet"/>
        <w:spacing w:after="40" w:line="252" w:lineRule="auto"/>
        <w:ind w:left="312" w:hanging="125"/>
      </w:pPr>
      <w:r>
        <w:rPr>
          <w:rFonts w:ascii="Inter" w:hAnsi="Inter" w:eastAsia="Inter"/>
          <w:b/>
          <w:color w:val="1E2A25"/>
          <w:sz w:val="19"/>
        </w:rPr>
        <w:t xml:space="preserve">Evidência para escala: </w:t>
      </w:r>
      <w:r>
        <w:rPr>
          <w:rFonts w:ascii="Inter" w:hAnsi="Inter" w:eastAsia="Inter"/>
          <w:color w:val="1E2A25"/>
          <w:sz w:val="19"/>
        </w:rPr>
        <w:t>painel de indicadores, relatório financeiro, registro audiovisual e decisão de investimento baseada em resultados.</w:t>
      </w:r>
    </w:p>
    <w:p>
      <w:pPr>
        <w:spacing w:before="100" w:after="0" w:line="240" w:lineRule="auto"/>
      </w:pPr>
      <w:r>
        <w:rPr>
          <w:rFonts w:ascii="Inter" w:hAnsi="Inter" w:eastAsia="Inter"/>
          <w:i/>
          <w:color w:val="5C6661"/>
          <w:sz w:val="15"/>
        </w:rPr>
        <w:t>A recomendação estratégica é apresentar ônibus e barco como visão de escala, e não como três frentes simultâneas de implantação. Isso torna o pedido mais financiável e reduz o risco operacional.</w:t>
      </w:r>
    </w:p>
    <w:p>
      <w:r>
        <w:br w:type="page"/>
      </w:r>
    </w:p>
    <w:p>
      <w:pPr>
        <w:keepNext/>
        <w:spacing w:before="0" w:after="100"/>
      </w:pPr>
      <w:r>
        <w:rPr>
          <w:rFonts w:ascii="Inter" w:hAnsi="Inter" w:eastAsia="Inter"/>
          <w:b/>
          <w:color w:val="E3A32B"/>
          <w:sz w:val="22"/>
        </w:rPr>
        <w:t xml:space="preserve">02  </w:t>
      </w:r>
      <w:r>
        <w:rPr>
          <w:rFonts w:ascii="Inter" w:hAnsi="Inter" w:eastAsia="Inter"/>
          <w:b/>
          <w:color w:val="1E4D3B"/>
          <w:sz w:val="40"/>
        </w:rPr>
        <w:t>Problema, oportunidade e públicos</w:t>
      </w:r>
    </w:p>
    <w:p>
      <w:pPr>
        <w:keepNext/>
        <w:spacing w:after="200"/>
      </w:pPr>
      <w:r>
        <w:rPr>
          <w:rFonts w:ascii="Inter" w:hAnsi="Inter" w:eastAsia="Inter"/>
          <w:b/>
          <w:color w:val="1C6B73"/>
          <w:sz w:val="18"/>
        </w:rPr>
        <w:t>O PROJETO COMEÇA ONDE A INFRAESTRUTURA EDUCACIONAL NÃO CHEGA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</w:tblGrid>
      <w:tr>
        <w:tc>
          <w:tcPr>
            <w:tcW w:type="dxa" w:w="10092"/>
            <w:shd w:fill="E3A32B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Inter" w:hAnsi="Inter" w:eastAsia="Inter"/>
                <w:sz w:val="2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288"/>
            <w:shd w:fill="E7F0EA" w:val="clear"/>
            <w:tcBorders>
              <w:top w:val="single" w:sz="5" w:color="D9E0DC"/>
              <w:left w:val="single" w:sz="5" w:color="D9E0DC"/>
              <w:bottom w:val="single" w:sz="5" w:color="D9E0DC"/>
              <w:right w:val="single" w:sz="5" w:color="D9E0DC"/>
            </w:tcBorders>
            <w:tcMar>
              <w:top w:w="170" w:type="dxa"/>
              <w:start w:w="160" w:type="dxa"/>
              <w:bottom w:w="170" w:type="dxa"/>
              <w:end w:w="160" w:type="dxa"/>
            </w:tcMar>
          </w:tcPr>
          <w:p>
            <w:pPr>
              <w:spacing w:after="60"/>
            </w:pPr>
            <w:r>
              <w:rPr>
                <w:rFonts w:ascii="Inter" w:hAnsi="Inter" w:eastAsia="Inter"/>
                <w:b/>
                <w:color w:val="1C6B73"/>
                <w:sz w:val="15"/>
              </w:rPr>
              <w:t>PROBLEMA 1</w:t>
            </w:r>
          </w:p>
          <w:p>
            <w:pPr>
              <w:spacing w:after="100"/>
            </w:pPr>
            <w:r>
              <w:rPr>
                <w:rFonts w:ascii="Inter" w:hAnsi="Inter" w:eastAsia="Inter"/>
                <w:b/>
                <w:color w:val="1E4D3B"/>
                <w:sz w:val="22"/>
              </w:rPr>
              <w:t>Baixo acesso à prática</w:t>
            </w:r>
          </w:p>
          <w:p>
            <w:pPr>
              <w:spacing w:after="0" w:line="252" w:lineRule="auto"/>
            </w:pPr>
            <w:r>
              <w:rPr>
                <w:rFonts w:ascii="Inter" w:hAnsi="Inter" w:eastAsia="Inter"/>
                <w:color w:val="1E2A25"/>
                <w:sz w:val="17"/>
              </w:rPr>
              <w:t>Muitos conteúdos ambientais permanecem teóricos, distantes da realidade cotidiana e sem ferramentas para aplicação imediata.</w:t>
            </w:r>
          </w:p>
        </w:tc>
        <w:tc>
          <w:tcPr>
            <w:tcW w:type="dxa" w:w="3288"/>
            <w:shd w:fill="E9F0F2" w:val="clear"/>
            <w:tcBorders>
              <w:top w:val="single" w:sz="5" w:color="D9E0DC"/>
              <w:left w:val="single" w:sz="5" w:color="D9E0DC"/>
              <w:bottom w:val="single" w:sz="5" w:color="D9E0DC"/>
              <w:right w:val="single" w:sz="5" w:color="D9E0DC"/>
            </w:tcBorders>
            <w:tcMar>
              <w:top w:w="170" w:type="dxa"/>
              <w:start w:w="160" w:type="dxa"/>
              <w:bottom w:w="170" w:type="dxa"/>
              <w:end w:w="160" w:type="dxa"/>
            </w:tcMar>
          </w:tcPr>
          <w:p>
            <w:pPr>
              <w:spacing w:after="60"/>
            </w:pPr>
            <w:r>
              <w:rPr>
                <w:rFonts w:ascii="Inter" w:hAnsi="Inter" w:eastAsia="Inter"/>
                <w:b/>
                <w:color w:val="1C6B73"/>
                <w:sz w:val="15"/>
              </w:rPr>
              <w:t>PROBLEMA 2</w:t>
            </w:r>
          </w:p>
          <w:p>
            <w:pPr>
              <w:spacing w:after="100"/>
            </w:pPr>
            <w:r>
              <w:rPr>
                <w:rFonts w:ascii="Inter" w:hAnsi="Inter" w:eastAsia="Inter"/>
                <w:b/>
                <w:color w:val="1E4D3B"/>
                <w:sz w:val="22"/>
              </w:rPr>
              <w:t>Vulnerabilidade territorial</w:t>
            </w:r>
          </w:p>
          <w:p>
            <w:pPr>
              <w:spacing w:after="0" w:line="252" w:lineRule="auto"/>
            </w:pPr>
            <w:r>
              <w:rPr>
                <w:rFonts w:ascii="Inter" w:hAnsi="Inter" w:eastAsia="Inter"/>
                <w:color w:val="1E2A25"/>
                <w:sz w:val="17"/>
              </w:rPr>
              <w:t>Água, solo, energia e alimentação são desafios conectados; respostas isoladas geram baixo efeito e pouca continuidade.</w:t>
            </w:r>
          </w:p>
        </w:tc>
        <w:tc>
          <w:tcPr>
            <w:tcW w:type="dxa" w:w="3288"/>
            <w:shd w:fill="F4F0E6" w:val="clear"/>
            <w:tcBorders>
              <w:top w:val="single" w:sz="5" w:color="D9E0DC"/>
              <w:left w:val="single" w:sz="5" w:color="D9E0DC"/>
              <w:bottom w:val="single" w:sz="5" w:color="D9E0DC"/>
              <w:right w:val="single" w:sz="5" w:color="D9E0DC"/>
            </w:tcBorders>
            <w:tcMar>
              <w:top w:w="170" w:type="dxa"/>
              <w:start w:w="160" w:type="dxa"/>
              <w:bottom w:w="170" w:type="dxa"/>
              <w:end w:w="160" w:type="dxa"/>
            </w:tcMar>
          </w:tcPr>
          <w:p>
            <w:pPr>
              <w:spacing w:after="60"/>
            </w:pPr>
            <w:r>
              <w:rPr>
                <w:rFonts w:ascii="Inter" w:hAnsi="Inter" w:eastAsia="Inter"/>
                <w:b/>
                <w:color w:val="1C6B73"/>
                <w:sz w:val="15"/>
              </w:rPr>
              <w:t>PROBLEMA 3</w:t>
            </w:r>
          </w:p>
          <w:p>
            <w:pPr>
              <w:spacing w:after="100"/>
            </w:pPr>
            <w:r>
              <w:rPr>
                <w:rFonts w:ascii="Inter" w:hAnsi="Inter" w:eastAsia="Inter"/>
                <w:b/>
                <w:color w:val="1E4D3B"/>
                <w:sz w:val="22"/>
              </w:rPr>
              <w:t>Ações sem legado</w:t>
            </w:r>
          </w:p>
          <w:p>
            <w:pPr>
              <w:spacing w:after="0" w:line="252" w:lineRule="auto"/>
            </w:pPr>
            <w:r>
              <w:rPr>
                <w:rFonts w:ascii="Inter" w:hAnsi="Inter" w:eastAsia="Inter"/>
                <w:color w:val="1E2A25"/>
                <w:sz w:val="17"/>
              </w:rPr>
              <w:t>Intervenções pontuais podem desaparecer quando não há corresponsabilidade, guardiões locais e acompanhamento pós-oficina.</w:t>
            </w:r>
          </w:p>
        </w:tc>
      </w:tr>
    </w:tbl>
    <w:p>
      <w:pPr>
        <w:spacing w:after="0" w:before="0" w:line="120" w:lineRule="exact"/>
      </w:pPr>
      <w:r>
        <w:rPr>
          <w:rFonts w:ascii="Inter" w:hAnsi="Inter" w:eastAsia="Inter"/>
          <w:sz w:val="2"/>
        </w:rPr>
        <w:t xml:space="preserve"> </w:t>
      </w:r>
    </w:p>
    <w:p>
      <w:pPr>
        <w:spacing w:before="0" w:after="120" w:line="269" w:lineRule="auto"/>
      </w:pPr>
      <w:r>
        <w:rPr>
          <w:rFonts w:ascii="Inter" w:hAnsi="Inter" w:eastAsia="Inter"/>
          <w:b/>
          <w:color w:val="1E2A25"/>
          <w:sz w:val="20"/>
        </w:rPr>
        <w:t>A oportunidade</w:t>
      </w:r>
      <w:r>
        <w:rPr>
          <w:rFonts w:ascii="Inter" w:hAnsi="Inter" w:eastAsia="Inter"/>
          <w:i w:val="0"/>
          <w:color w:val="1E2A25"/>
          <w:sz w:val="20"/>
        </w:rPr>
      </w:r>
    </w:p>
    <w:p>
      <w:pPr>
        <w:spacing w:before="0" w:after="120" w:line="269" w:lineRule="auto"/>
      </w:pPr>
      <w:r>
        <w:rPr>
          <w:rFonts w:ascii="Inter" w:hAnsi="Inter" w:eastAsia="Inter"/>
          <w:i w:val="0"/>
          <w:color w:val="1E2A25"/>
          <w:sz w:val="20"/>
        </w:rPr>
        <w:t>Uma escola itinerante reduz a barreira de infraestrutura, conecta conhecimentos e organizações locais e converte cada parada em uma experiência demonstrativa. O modelo combina formação, mutirão, cultura e ativação econômica local, com compras e contratações no próprio território sempre que possível.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2381"/>
            <w:shd w:fill="1E4D3B" w:val="clea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1E4D3B"/>
              <w:left w:val="single" w:sz="4" w:color="FFFFFF"/>
              <w:bottom w:val="single" w:sz="4" w:color="1E4D3B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Público prioritário</w:t>
            </w:r>
          </w:p>
        </w:tc>
        <w:tc>
          <w:tcPr>
            <w:tcW w:type="dxa" w:w="4195"/>
            <w:shd w:fill="1E4D3B" w:val="clea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1E4D3B"/>
              <w:left w:val="single" w:sz="4" w:color="FFFFFF"/>
              <w:bottom w:val="single" w:sz="4" w:color="1E4D3B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Necessidade atendida</w:t>
            </w:r>
          </w:p>
        </w:tc>
        <w:tc>
          <w:tcPr>
            <w:tcW w:type="dxa" w:w="3514"/>
            <w:shd w:fill="1E4D3B" w:val="clea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1E4D3B"/>
              <w:left w:val="single" w:sz="4" w:color="FFFFFF"/>
              <w:bottom w:val="single" w:sz="4" w:color="1E4D3B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Canal de entrada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Moradores de periferias urbanas</w:t>
            </w:r>
          </w:p>
        </w:tc>
        <w:tc>
          <w:tcPr>
            <w:tcW w:type="dxa" w:w="4195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Soluções acessíveis para cultivo, resíduos, água e energia</w:t>
            </w:r>
          </w:p>
        </w:tc>
        <w:tc>
          <w:tcPr>
            <w:tcW w:type="dxa" w:w="3514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Associações, centros culturais e escolas</w:t>
            </w:r>
          </w:p>
        </w:tc>
      </w:tr>
      <w:tr>
        <w:trPr>
          <w:cantSplit/>
        </w:trPr>
        <w:tc>
          <w:tcPr>
            <w:tcW w:type="dxa" w:w="2381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Estudantes e educadores da rede pública</w:t>
            </w:r>
          </w:p>
        </w:tc>
        <w:tc>
          <w:tcPr>
            <w:tcW w:type="dxa" w:w="4195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Aprendizagem aplicada e interdisciplinar</w:t>
            </w:r>
          </w:p>
        </w:tc>
        <w:tc>
          <w:tcPr>
            <w:tcW w:type="dxa" w:w="3514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Secretarias, escolas e universidades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Agricultores, pescadores e lideranças locais</w:t>
            </w:r>
          </w:p>
        </w:tc>
        <w:tc>
          <w:tcPr>
            <w:tcW w:type="dxa" w:w="4195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Tecnologias sociais e fortalecimento de redes</w:t>
            </w:r>
          </w:p>
        </w:tc>
        <w:tc>
          <w:tcPr>
            <w:tcW w:type="dxa" w:w="3514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Cooperativas, colônias e organizações comunitárias</w:t>
            </w:r>
          </w:p>
        </w:tc>
      </w:tr>
      <w:tr>
        <w:trPr>
          <w:cantSplit/>
        </w:trPr>
        <w:tc>
          <w:tcPr>
            <w:tcW w:type="dxa" w:w="2381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Comunidades tradicionais e ribeirinhas (escala)</w:t>
            </w:r>
          </w:p>
        </w:tc>
        <w:tc>
          <w:tcPr>
            <w:tcW w:type="dxa" w:w="4195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Acesso territorial, saneamento ecológico e transição energética</w:t>
            </w:r>
          </w:p>
        </w:tc>
        <w:tc>
          <w:tcPr>
            <w:tcW w:type="dxa" w:w="3514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Parcerias locais e consentimento comunitário prévio</w:t>
            </w:r>
          </w:p>
        </w:tc>
      </w:tr>
    </w:tbl>
    <w:p>
      <w:pPr>
        <w:spacing w:after="0" w:before="0" w:line="100" w:lineRule="exact"/>
      </w:pPr>
      <w:r>
        <w:rPr>
          <w:rFonts w:ascii="Inter" w:hAnsi="Inter" w:eastAsia="Inter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fill="E7F0EA" w:val="clear"/>
            <w:tcBorders>
              <w:top w:val="nil"/>
              <w:left w:val="single" w:sz="22" w:color="1C6B73"/>
              <w:bottom w:val="nil"/>
              <w:right w:val="nil"/>
            </w:tcBorders>
            <w:tcMar>
              <w:top w:w="150" w:type="dxa"/>
              <w:start w:w="21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Inter" w:hAnsi="Inter" w:eastAsia="Inter"/>
                <w:b/>
                <w:color w:val="1E4D3B"/>
                <w:sz w:val="21"/>
              </w:rPr>
              <w:t>Princípio de atuação</w:t>
            </w:r>
          </w:p>
          <w:p>
            <w:pPr>
              <w:spacing w:after="0" w:line="259" w:lineRule="auto"/>
            </w:pPr>
            <w:r>
              <w:rPr>
                <w:rFonts w:ascii="Inter" w:hAnsi="Inter" w:eastAsia="Inter"/>
                <w:color w:val="1E2A25"/>
                <w:sz w:val="18"/>
              </w:rPr>
              <w:t>Nenhuma ação será “levada pronta”. Cada edição será cocriada com a organização anfitriã, terá diagnóstico simples, definição de responsável local e retorno de acompanhamento em 30 a 60 dias.</w:t>
            </w:r>
          </w:p>
        </w:tc>
      </w:tr>
    </w:tbl>
    <w:p>
      <w:r>
        <w:br w:type="page"/>
      </w:r>
    </w:p>
    <w:p>
      <w:pPr>
        <w:keepNext/>
        <w:spacing w:before="0" w:after="100"/>
      </w:pPr>
      <w:r>
        <w:rPr>
          <w:rFonts w:ascii="Inter" w:hAnsi="Inter" w:eastAsia="Inter"/>
          <w:b/>
          <w:color w:val="E3A32B"/>
          <w:sz w:val="22"/>
        </w:rPr>
        <w:t xml:space="preserve">03  </w:t>
      </w:r>
      <w:r>
        <w:rPr>
          <w:rFonts w:ascii="Inter" w:hAnsi="Inter" w:eastAsia="Inter"/>
          <w:b/>
          <w:color w:val="1E4D3B"/>
          <w:sz w:val="40"/>
        </w:rPr>
        <w:t>A solução: três modais, uma estratégia por etapas</w:t>
      </w:r>
    </w:p>
    <w:p>
      <w:pPr>
        <w:keepNext/>
        <w:spacing w:after="200"/>
      </w:pPr>
      <w:r>
        <w:rPr>
          <w:rFonts w:ascii="Inter" w:hAnsi="Inter" w:eastAsia="Inter"/>
          <w:b/>
          <w:color w:val="1C6B73"/>
          <w:sz w:val="18"/>
        </w:rPr>
        <w:t>A VISÃO É MULTIMODAL; A EXECUÇÃO É FASEADA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</w:tblGrid>
      <w:tr>
        <w:tc>
          <w:tcPr>
            <w:tcW w:type="dxa" w:w="10092"/>
            <w:shd w:fill="E3A32B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Inter" w:hAnsi="Inter" w:eastAsia="Inter"/>
                <w:sz w:val="2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2267"/>
            <w:shd w:fill="1E4D3B" w:val="clea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1E4D3B"/>
              <w:left w:val="single" w:sz="4" w:color="FFFFFF"/>
              <w:bottom w:val="single" w:sz="4" w:color="1E4D3B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7"/>
              </w:rPr>
              <w:t>Modalidade</w:t>
            </w:r>
          </w:p>
        </w:tc>
        <w:tc>
          <w:tcPr>
            <w:tcW w:type="dxa" w:w="5159"/>
            <w:shd w:fill="1E4D3B" w:val="clea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1E4D3B"/>
              <w:left w:val="single" w:sz="4" w:color="FFFFFF"/>
              <w:bottom w:val="single" w:sz="4" w:color="1E4D3B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7"/>
              </w:rPr>
              <w:t>Função no ecossistema</w:t>
            </w:r>
          </w:p>
        </w:tc>
        <w:tc>
          <w:tcPr>
            <w:tcW w:type="dxa" w:w="2664"/>
            <w:shd w:fill="1E4D3B" w:val="clea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1E4D3B"/>
              <w:left w:val="single" w:sz="4" w:color="FFFFFF"/>
              <w:bottom w:val="single" w:sz="4" w:color="1E4D3B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7"/>
              </w:rPr>
              <w:t>Estágio recomendado</w:t>
            </w:r>
          </w:p>
        </w:tc>
      </w:tr>
      <w:tr>
        <w:trPr>
          <w:cantSplit/>
        </w:trPr>
        <w:tc>
          <w:tcPr>
            <w:tcW w:type="dxa" w:w="2267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7"/>
              </w:rPr>
              <w:t>Ciclo-Permacultura</w:t>
            </w:r>
          </w:p>
        </w:tc>
        <w:tc>
          <w:tcPr>
            <w:tcW w:type="dxa" w:w="5159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7"/>
              </w:rPr>
              <w:t>Três cargo bikes para praças, escolas e bairros: energia e audiovisual; sementes e horta; cozinha e laboratório de solo.</w:t>
            </w:r>
          </w:p>
        </w:tc>
        <w:tc>
          <w:tcPr>
            <w:tcW w:type="dxa" w:w="2664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7"/>
              </w:rPr>
              <w:t>Fase 1 — piloto de 6 meses</w:t>
            </w:r>
          </w:p>
        </w:tc>
      </w:tr>
      <w:tr>
        <w:trPr>
          <w:cantSplit/>
        </w:trPr>
        <w:tc>
          <w:tcPr>
            <w:tcW w:type="dxa" w:w="2267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7"/>
              </w:rPr>
              <w:t>Vaga Lúmen Terrestre</w:t>
            </w:r>
          </w:p>
        </w:tc>
        <w:tc>
          <w:tcPr>
            <w:tcW w:type="dxa" w:w="5159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7"/>
              </w:rPr>
              <w:t>Ônibus-escola para oficinas ampliadas, bioconstrução, biblioteca, sementoteca e mutirões campo–cidade.</w:t>
            </w:r>
          </w:p>
        </w:tc>
        <w:tc>
          <w:tcPr>
            <w:tcW w:type="dxa" w:w="2664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7"/>
              </w:rPr>
              <w:t>Fase 2 — após validação do piloto</w:t>
            </w:r>
          </w:p>
        </w:tc>
      </w:tr>
      <w:tr>
        <w:trPr>
          <w:cantSplit/>
        </w:trPr>
        <w:tc>
          <w:tcPr>
            <w:tcW w:type="dxa" w:w="2267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7"/>
              </w:rPr>
              <w:t>Vaga Lúmen Fluvial</w:t>
            </w:r>
          </w:p>
        </w:tc>
        <w:tc>
          <w:tcPr>
            <w:tcW w:type="dxa" w:w="5159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7"/>
              </w:rPr>
              <w:t>Unidade embarcada para comunidades ribeirinhas, com educação hídrica, energia de bordo, saneamento ecológico e cultura.</w:t>
            </w:r>
          </w:p>
        </w:tc>
        <w:tc>
          <w:tcPr>
            <w:tcW w:type="dxa" w:w="2664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7"/>
              </w:rPr>
              <w:t>Fase 3 — com parceiro náutico e licenças</w:t>
            </w:r>
          </w:p>
        </w:tc>
      </w:tr>
    </w:tbl>
    <w:p>
      <w:pPr>
        <w:spacing w:after="0" w:before="0" w:line="140" w:lineRule="exact"/>
      </w:pPr>
      <w:r>
        <w:rPr>
          <w:rFonts w:ascii="Inter" w:hAnsi="Inter" w:eastAsia="Inter"/>
          <w:sz w:val="2"/>
        </w:rPr>
        <w:t xml:space="preserve"> </w:t>
      </w:r>
    </w:p>
    <w:p>
      <w:pPr>
        <w:spacing w:before="0" w:after="120" w:line="269" w:lineRule="auto"/>
      </w:pPr>
      <w:r>
        <w:rPr>
          <w:rFonts w:ascii="Inter" w:hAnsi="Inter" w:eastAsia="Inter"/>
          <w:b/>
          <w:color w:val="1E2A25"/>
          <w:sz w:val="20"/>
        </w:rPr>
        <w:t>Diferenciais financiáveis</w:t>
      </w:r>
      <w:r>
        <w:rPr>
          <w:rFonts w:ascii="Inter" w:hAnsi="Inter" w:eastAsia="Inter"/>
          <w:i w:val="0"/>
          <w:color w:val="1E2A25"/>
          <w:sz w:val="20"/>
        </w:rPr>
      </w:r>
    </w:p>
    <w:p>
      <w:pPr>
        <w:pStyle w:val="ListBullet"/>
        <w:spacing w:after="40" w:line="252" w:lineRule="auto"/>
        <w:ind w:left="312" w:hanging="125"/>
      </w:pPr>
      <w:r>
        <w:rPr>
          <w:rFonts w:ascii="Inter" w:hAnsi="Inter" w:eastAsia="Inter"/>
          <w:b/>
          <w:color w:val="1E2A25"/>
          <w:sz w:val="19"/>
        </w:rPr>
        <w:t xml:space="preserve">Integração de temas: </w:t>
      </w:r>
      <w:r>
        <w:rPr>
          <w:rFonts w:ascii="Inter" w:hAnsi="Inter" w:eastAsia="Inter"/>
          <w:color w:val="1E2A25"/>
          <w:sz w:val="19"/>
        </w:rPr>
        <w:t>água, energia, solo, alimentação, bioconstrução e cultura em uma mesma experiência.</w:t>
      </w:r>
    </w:p>
    <w:p>
      <w:pPr>
        <w:pStyle w:val="ListBullet"/>
        <w:spacing w:after="40" w:line="252" w:lineRule="auto"/>
        <w:ind w:left="312" w:hanging="125"/>
      </w:pPr>
      <w:r>
        <w:rPr>
          <w:rFonts w:ascii="Inter" w:hAnsi="Inter" w:eastAsia="Inter"/>
          <w:b/>
          <w:color w:val="1E2A25"/>
          <w:sz w:val="19"/>
        </w:rPr>
        <w:t xml:space="preserve">Aprendizagem pelo fazer: </w:t>
      </w:r>
      <w:r>
        <w:rPr>
          <w:rFonts w:ascii="Inter" w:hAnsi="Inter" w:eastAsia="Inter"/>
          <w:color w:val="1E2A25"/>
          <w:sz w:val="19"/>
        </w:rPr>
        <w:t>cada oficina gera um protótipo, uma instalação ou um plano aplicável ao território.</w:t>
      </w:r>
    </w:p>
    <w:p>
      <w:pPr>
        <w:pStyle w:val="ListBullet"/>
        <w:spacing w:after="40" w:line="252" w:lineRule="auto"/>
        <w:ind w:left="312" w:hanging="125"/>
      </w:pPr>
      <w:r>
        <w:rPr>
          <w:rFonts w:ascii="Inter" w:hAnsi="Inter" w:eastAsia="Inter"/>
          <w:b/>
          <w:color w:val="1E2A25"/>
          <w:sz w:val="19"/>
        </w:rPr>
        <w:t xml:space="preserve">Ativo demonstrativo: </w:t>
      </w:r>
      <w:r>
        <w:rPr>
          <w:rFonts w:ascii="Inter" w:hAnsi="Inter" w:eastAsia="Inter"/>
          <w:color w:val="1E2A25"/>
          <w:sz w:val="19"/>
        </w:rPr>
        <w:t>o próprio veículo funciona como ferramenta pedagógica e vitrine de tecnologias sociais.</w:t>
      </w:r>
    </w:p>
    <w:p>
      <w:pPr>
        <w:pStyle w:val="ListBullet"/>
        <w:spacing w:after="40" w:line="252" w:lineRule="auto"/>
        <w:ind w:left="312" w:hanging="125"/>
      </w:pPr>
      <w:r>
        <w:rPr>
          <w:rFonts w:ascii="Inter" w:hAnsi="Inter" w:eastAsia="Inter"/>
          <w:b/>
          <w:color w:val="1E2A25"/>
          <w:sz w:val="19"/>
        </w:rPr>
        <w:t xml:space="preserve">Escala com controle de risco: </w:t>
      </w:r>
      <w:r>
        <w:rPr>
          <w:rFonts w:ascii="Inter" w:hAnsi="Inter" w:eastAsia="Inter"/>
          <w:color w:val="1E2A25"/>
          <w:sz w:val="19"/>
        </w:rPr>
        <w:t>a expansão depende de indicadores, parceiros confirmados e capacidade operacional comprovada.</w:t>
      </w:r>
    </w:p>
    <w:p>
      <w:pPr>
        <w:pStyle w:val="ListBullet"/>
        <w:spacing w:after="40" w:line="252" w:lineRule="auto"/>
        <w:ind w:left="312" w:hanging="125"/>
      </w:pPr>
      <w:r>
        <w:rPr>
          <w:rFonts w:ascii="Inter" w:hAnsi="Inter" w:eastAsia="Inter"/>
          <w:b/>
          <w:color w:val="1E2A25"/>
          <w:sz w:val="19"/>
        </w:rPr>
        <w:t xml:space="preserve">Economia local: </w:t>
      </w:r>
      <w:r>
        <w:rPr>
          <w:rFonts w:ascii="Inter" w:hAnsi="Inter" w:eastAsia="Inter"/>
          <w:color w:val="1E2A25"/>
          <w:sz w:val="19"/>
        </w:rPr>
        <w:t>prioridade para alimentação, insumos e apoios contratados na comunidade anfitriã.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fill="F4F0E6" w:val="clear"/>
            <w:tcBorders>
              <w:top w:val="nil"/>
              <w:left w:val="single" w:sz="22" w:color="E3A32B"/>
              <w:bottom w:val="nil"/>
              <w:right w:val="nil"/>
            </w:tcBorders>
            <w:tcMar>
              <w:top w:w="150" w:type="dxa"/>
              <w:start w:w="21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Inter" w:hAnsi="Inter" w:eastAsia="Inter"/>
                <w:b/>
                <w:color w:val="1E4D3B"/>
                <w:sz w:val="21"/>
              </w:rPr>
              <w:t>Posicionamento</w:t>
            </w:r>
          </w:p>
          <w:p>
            <w:pPr>
              <w:spacing w:after="0" w:line="259" w:lineRule="auto"/>
            </w:pPr>
            <w:r>
              <w:rPr>
                <w:rFonts w:ascii="Inter" w:hAnsi="Inter" w:eastAsia="Inter"/>
                <w:color w:val="1E2A25"/>
                <w:sz w:val="18"/>
              </w:rPr>
              <w:t>O Vaga Lúmen não é apenas um curso itinerante. É uma plataforma de ativação territorial que combina educação, infraestrutura leve, redes locais e mensuração de impacto.</w:t>
            </w:r>
          </w:p>
        </w:tc>
      </w:tr>
    </w:tbl>
    <w:p>
      <w:r>
        <w:br w:type="page"/>
      </w:r>
    </w:p>
    <w:p>
      <w:pPr>
        <w:keepNext/>
        <w:spacing w:before="0" w:after="100"/>
      </w:pPr>
      <w:r>
        <w:rPr>
          <w:rFonts w:ascii="Inter" w:hAnsi="Inter" w:eastAsia="Inter"/>
          <w:b/>
          <w:color w:val="E3A32B"/>
          <w:sz w:val="22"/>
        </w:rPr>
        <w:t xml:space="preserve">04  </w:t>
      </w:r>
      <w:r>
        <w:rPr>
          <w:rFonts w:ascii="Inter" w:hAnsi="Inter" w:eastAsia="Inter"/>
          <w:b/>
          <w:color w:val="1E4D3B"/>
          <w:sz w:val="40"/>
        </w:rPr>
        <w:t>Metodologia e teoria de mudança</w:t>
      </w:r>
    </w:p>
    <w:p>
      <w:pPr>
        <w:keepNext/>
        <w:spacing w:after="200"/>
      </w:pPr>
      <w:r>
        <w:rPr>
          <w:rFonts w:ascii="Inter" w:hAnsi="Inter" w:eastAsia="Inter"/>
          <w:b/>
          <w:color w:val="1C6B73"/>
          <w:sz w:val="18"/>
        </w:rPr>
        <w:t>DO APORTE AO LEGADO TERRITORIAL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</w:tblGrid>
      <w:tr>
        <w:tc>
          <w:tcPr>
            <w:tcW w:type="dxa" w:w="10092"/>
            <w:shd w:fill="E3A32B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Inter" w:hAnsi="Inter" w:eastAsia="Inter"/>
                <w:sz w:val="2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  <w:cantSplit/>
        </w:trPr>
        <w:tc>
          <w:tcPr>
            <w:tcW w:type="dxa" w:w="2012"/>
            <w:shd w:fill="1E4D3B" w:val="clea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1E4D3B"/>
              <w:left w:val="single" w:sz="4" w:color="FFFFFF"/>
              <w:bottom w:val="single" w:sz="4" w:color="1E4D3B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1. Recursos</w:t>
            </w:r>
          </w:p>
        </w:tc>
        <w:tc>
          <w:tcPr>
            <w:tcW w:type="dxa" w:w="2012"/>
            <w:shd w:fill="1E4D3B" w:val="clea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1E4D3B"/>
              <w:left w:val="single" w:sz="4" w:color="FFFFFF"/>
              <w:bottom w:val="single" w:sz="4" w:color="1E4D3B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2. Atividades</w:t>
            </w:r>
          </w:p>
        </w:tc>
        <w:tc>
          <w:tcPr>
            <w:tcW w:type="dxa" w:w="2012"/>
            <w:shd w:fill="1E4D3B" w:val="clea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1E4D3B"/>
              <w:left w:val="single" w:sz="4" w:color="FFFFFF"/>
              <w:bottom w:val="single" w:sz="4" w:color="1E4D3B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3. Entregas</w:t>
            </w:r>
          </w:p>
        </w:tc>
        <w:tc>
          <w:tcPr>
            <w:tcW w:type="dxa" w:w="2012"/>
            <w:shd w:fill="1E4D3B" w:val="clea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1E4D3B"/>
              <w:left w:val="single" w:sz="4" w:color="FFFFFF"/>
              <w:bottom w:val="single" w:sz="4" w:color="1E4D3B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4. Resultados</w:t>
            </w:r>
          </w:p>
        </w:tc>
        <w:tc>
          <w:tcPr>
            <w:tcW w:type="dxa" w:w="2012"/>
            <w:shd w:fill="1E4D3B" w:val="clea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1E4D3B"/>
              <w:left w:val="single" w:sz="4" w:color="FFFFFF"/>
              <w:bottom w:val="single" w:sz="4" w:color="1E4D3B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5. Impacto</w:t>
            </w:r>
          </w:p>
        </w:tc>
      </w:tr>
      <w:tr>
        <w:trPr>
          <w:cantSplit/>
        </w:trPr>
        <w:tc>
          <w:tcPr>
            <w:tcW w:type="dxa" w:w="2012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Financiamento, equipe, bikes, kits, parceiros e dados de base</w:t>
            </w:r>
          </w:p>
        </w:tc>
        <w:tc>
          <w:tcPr>
            <w:tcW w:type="dxa" w:w="2012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Mobilização, oficinas, mutirões, cinema, trocas de sementes e acompanhamento</w:t>
            </w:r>
          </w:p>
        </w:tc>
        <w:tc>
          <w:tcPr>
            <w:tcW w:type="dxa" w:w="2012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Pessoas formadas, soluções instaladas, guardiões locais e conteúdos produzidos</w:t>
            </w:r>
          </w:p>
        </w:tc>
        <w:tc>
          <w:tcPr>
            <w:tcW w:type="dxa" w:w="2012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Maior capacidade de aplicar práticas e manter estruturas comunitárias</w:t>
            </w:r>
          </w:p>
        </w:tc>
        <w:tc>
          <w:tcPr>
            <w:tcW w:type="dxa" w:w="2012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Territórios mais autônomos, resilientes e conectados a redes regenerativas</w:t>
            </w:r>
          </w:p>
        </w:tc>
      </w:tr>
    </w:tbl>
    <w:p>
      <w:pPr>
        <w:spacing w:after="0" w:before="0" w:line="120" w:lineRule="exact"/>
      </w:pPr>
      <w:r>
        <w:rPr>
          <w:rFonts w:ascii="Inter" w:hAnsi="Inter" w:eastAsia="Inter"/>
          <w:sz w:val="2"/>
        </w:rPr>
        <w:t xml:space="preserve"> </w:t>
      </w:r>
    </w:p>
    <w:p>
      <w:pPr>
        <w:spacing w:before="0" w:after="120" w:line="269" w:lineRule="auto"/>
      </w:pPr>
      <w:r>
        <w:rPr>
          <w:rFonts w:ascii="Inter" w:hAnsi="Inter" w:eastAsia="Inter"/>
          <w:b/>
          <w:color w:val="1E2A25"/>
          <w:sz w:val="20"/>
        </w:rPr>
        <w:t>Ciclo de uma ativação</w:t>
      </w:r>
      <w:r>
        <w:rPr>
          <w:rFonts w:ascii="Inter" w:hAnsi="Inter" w:eastAsia="Inter"/>
          <w:i w:val="0"/>
          <w:color w:val="1E2A25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700"/>
            <w:shd w:fill="1E4D3B" w:val="clea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1E4D3B"/>
              <w:left w:val="single" w:sz="4" w:color="FFFFFF"/>
              <w:bottom w:val="single" w:sz="4" w:color="1E4D3B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Etapa</w:t>
            </w:r>
          </w:p>
        </w:tc>
        <w:tc>
          <w:tcPr>
            <w:tcW w:type="dxa" w:w="5272"/>
            <w:shd w:fill="1E4D3B" w:val="clea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1E4D3B"/>
              <w:left w:val="single" w:sz="4" w:color="FFFFFF"/>
              <w:bottom w:val="single" w:sz="4" w:color="1E4D3B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O que acontece</w:t>
            </w:r>
          </w:p>
        </w:tc>
        <w:tc>
          <w:tcPr>
            <w:tcW w:type="dxa" w:w="3118"/>
            <w:shd w:fill="1E4D3B" w:val="clea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1E4D3B"/>
              <w:left w:val="single" w:sz="4" w:color="FFFFFF"/>
              <w:bottom w:val="single" w:sz="4" w:color="1E4D3B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Evidência gerada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1. Ancoragem</w:t>
            </w:r>
          </w:p>
        </w:tc>
        <w:tc>
          <w:tcPr>
            <w:tcW w:type="dxa" w:w="5272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Acordo com anfitrião, escuta territorial, seleção da turma e definição da solução prática.</w:t>
            </w:r>
          </w:p>
        </w:tc>
        <w:tc>
          <w:tcPr>
            <w:tcW w:type="dxa" w:w="3118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Termo de parceria, lista de inscritos e linha de base simples</w:t>
            </w:r>
          </w:p>
        </w:tc>
      </w:tr>
      <w:tr>
        <w:trPr>
          <w:cantSplit/>
        </w:trPr>
        <w:tc>
          <w:tcPr>
            <w:tcW w:type="dxa" w:w="1700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2. Imersão</w:t>
            </w:r>
          </w:p>
        </w:tc>
        <w:tc>
          <w:tcPr>
            <w:tcW w:type="dxa" w:w="5272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Conteúdo essencial, demonstração e prática em pequenos grupos.</w:t>
            </w:r>
          </w:p>
        </w:tc>
        <w:tc>
          <w:tcPr>
            <w:tcW w:type="dxa" w:w="3118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Presença, fotos autorizadas, avaliação de aprendizagem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3. Mutirão</w:t>
            </w:r>
          </w:p>
        </w:tc>
        <w:tc>
          <w:tcPr>
            <w:tcW w:type="dxa" w:w="5272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Construção ou implantação de horta, biofiltro, sistema de energia, compostagem ou intervenção equivalente.</w:t>
            </w:r>
          </w:p>
        </w:tc>
        <w:tc>
          <w:tcPr>
            <w:tcW w:type="dxa" w:w="3118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Ficha técnica, responsável local e plano de manutenção</w:t>
            </w:r>
          </w:p>
        </w:tc>
      </w:tr>
      <w:tr>
        <w:trPr>
          <w:cantSplit/>
        </w:trPr>
        <w:tc>
          <w:tcPr>
            <w:tcW w:type="dxa" w:w="1700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4. Devolutiva</w:t>
            </w:r>
          </w:p>
        </w:tc>
        <w:tc>
          <w:tcPr>
            <w:tcW w:type="dxa" w:w="5272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Acompanhamento em 30–60 dias e registro de uso, dificuldades e replicações.</w:t>
            </w:r>
          </w:p>
        </w:tc>
        <w:tc>
          <w:tcPr>
            <w:tcW w:type="dxa" w:w="3118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Pesquisa de adoção, manutenção e lições aprendidas</w:t>
            </w:r>
          </w:p>
        </w:tc>
      </w:tr>
    </w:tbl>
    <w:p>
      <w:pPr>
        <w:spacing w:after="0" w:before="0" w:line="100" w:lineRule="exact"/>
      </w:pPr>
      <w:r>
        <w:rPr>
          <w:rFonts w:ascii="Inter" w:hAnsi="Inter" w:eastAsia="Inter"/>
          <w:sz w:val="2"/>
        </w:rPr>
        <w:t xml:space="preserve"> </w:t>
      </w:r>
    </w:p>
    <w:p>
      <w:pPr>
        <w:spacing w:before="0" w:after="120" w:line="269" w:lineRule="auto"/>
      </w:pPr>
      <w:r>
        <w:rPr>
          <w:rFonts w:ascii="Inter" w:hAnsi="Inter" w:eastAsia="Inter"/>
          <w:i w:val="0"/>
          <w:color w:val="1E2A25"/>
          <w:sz w:val="20"/>
        </w:rPr>
        <w:t>Módulos pedagógicos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2"/>
            <w:shd w:fill="E7F0EA" w:val="clear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</w:tcBorders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Inter" w:hAnsi="Inter" w:eastAsia="Inter"/>
                <w:b/>
                <w:color w:val="1E4D3B"/>
                <w:sz w:val="34"/>
              </w:rPr>
              <w:t>ÁGUA</w:t>
            </w:r>
          </w:p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5C6661"/>
                <w:sz w:val="16"/>
              </w:rPr>
              <w:t>captação, uso eficiente e biofiltros</w:t>
            </w:r>
          </w:p>
        </w:tc>
        <w:tc>
          <w:tcPr>
            <w:tcW w:type="dxa" w:w="2522"/>
            <w:shd w:fill="FFFFFF" w:val="clear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</w:tcBorders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Inter" w:hAnsi="Inter" w:eastAsia="Inter"/>
                <w:b/>
                <w:color w:val="1E4D3B"/>
                <w:sz w:val="34"/>
              </w:rPr>
              <w:t>ENERGIA</w:t>
            </w:r>
          </w:p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5C6661"/>
                <w:sz w:val="16"/>
              </w:rPr>
              <w:t>solar, eficiência e segurança</w:t>
            </w:r>
          </w:p>
        </w:tc>
        <w:tc>
          <w:tcPr>
            <w:tcW w:type="dxa" w:w="2522"/>
            <w:shd w:fill="E7F0EA" w:val="clear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</w:tcBorders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Inter" w:hAnsi="Inter" w:eastAsia="Inter"/>
                <w:b/>
                <w:color w:val="1E4D3B"/>
                <w:sz w:val="34"/>
              </w:rPr>
              <w:t>SOLO</w:t>
            </w:r>
          </w:p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5C6661"/>
                <w:sz w:val="16"/>
              </w:rPr>
              <w:t>compostagem e sistemas agroflorestais</w:t>
            </w:r>
          </w:p>
        </w:tc>
        <w:tc>
          <w:tcPr>
            <w:tcW w:type="dxa" w:w="2522"/>
            <w:shd w:fill="FFFFFF" w:val="clear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</w:tcBorders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Inter" w:hAnsi="Inter" w:eastAsia="Inter"/>
                <w:b/>
                <w:color w:val="1E4D3B"/>
                <w:sz w:val="34"/>
              </w:rPr>
              <w:t>ALIMENTO</w:t>
            </w:r>
          </w:p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5C6661"/>
                <w:sz w:val="16"/>
              </w:rPr>
              <w:t>hortas, PANCs e sementes</w:t>
            </w:r>
          </w:p>
        </w:tc>
      </w:tr>
    </w:tbl>
    <w:p>
      <w:pPr>
        <w:spacing w:after="0" w:before="0" w:line="80" w:lineRule="exact"/>
      </w:pPr>
      <w:r>
        <w:rPr>
          <w:rFonts w:ascii="Inter" w:hAnsi="Inter" w:eastAsia="Inter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2"/>
            <w:shd w:fill="E9F0F2" w:val="clear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</w:tcBorders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Inter" w:hAnsi="Inter" w:eastAsia="Inter"/>
                <w:b/>
                <w:color w:val="1E4D3B"/>
                <w:sz w:val="34"/>
              </w:rPr>
              <w:t>CONSTRUIR</w:t>
            </w:r>
          </w:p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5C6661"/>
                <w:sz w:val="16"/>
              </w:rPr>
              <w:t>materiais naturais e conforto</w:t>
            </w:r>
          </w:p>
        </w:tc>
        <w:tc>
          <w:tcPr>
            <w:tcW w:type="dxa" w:w="2522"/>
            <w:shd w:fill="FFFFFF" w:val="clear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</w:tcBorders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Inter" w:hAnsi="Inter" w:eastAsia="Inter"/>
                <w:b/>
                <w:color w:val="1E4D3B"/>
                <w:sz w:val="34"/>
              </w:rPr>
              <w:t>CULTURA</w:t>
            </w:r>
          </w:p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5C6661"/>
                <w:sz w:val="16"/>
              </w:rPr>
              <w:t>cinema, memória e saberes locais</w:t>
            </w:r>
          </w:p>
        </w:tc>
        <w:tc>
          <w:tcPr>
            <w:tcW w:type="dxa" w:w="2522"/>
            <w:shd w:fill="E9F0F2" w:val="clear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</w:tcBorders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Inter" w:hAnsi="Inter" w:eastAsia="Inter"/>
                <w:b/>
                <w:color w:val="1E4D3B"/>
                <w:sz w:val="34"/>
              </w:rPr>
              <w:t>REDES</w:t>
            </w:r>
          </w:p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5C6661"/>
                <w:sz w:val="16"/>
              </w:rPr>
              <w:t>trocas, feiras e parceiros</w:t>
            </w:r>
          </w:p>
        </w:tc>
        <w:tc>
          <w:tcPr>
            <w:tcW w:type="dxa" w:w="2522"/>
            <w:shd w:fill="FFFFFF" w:val="clear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</w:tcBorders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Inter" w:hAnsi="Inter" w:eastAsia="Inter"/>
                <w:b/>
                <w:color w:val="1E4D3B"/>
                <w:sz w:val="34"/>
              </w:rPr>
              <w:t>AUTONOMIA</w:t>
            </w:r>
          </w:p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5C6661"/>
                <w:sz w:val="16"/>
              </w:rPr>
              <w:t>aplicação e multiplicação</w:t>
            </w:r>
          </w:p>
        </w:tc>
      </w:tr>
    </w:tbl>
    <w:p>
      <w:r>
        <w:br w:type="page"/>
      </w:r>
    </w:p>
    <w:p>
      <w:pPr>
        <w:keepNext/>
        <w:spacing w:before="0" w:after="100"/>
      </w:pPr>
      <w:r>
        <w:rPr>
          <w:rFonts w:ascii="Inter" w:hAnsi="Inter" w:eastAsia="Inter"/>
          <w:b/>
          <w:color w:val="E3A32B"/>
          <w:sz w:val="22"/>
        </w:rPr>
        <w:t xml:space="preserve">05  </w:t>
      </w:r>
      <w:r>
        <w:rPr>
          <w:rFonts w:ascii="Inter" w:hAnsi="Inter" w:eastAsia="Inter"/>
          <w:b/>
          <w:color w:val="1E4D3B"/>
          <w:sz w:val="40"/>
        </w:rPr>
        <w:t>Piloto financiável: 6 meses</w:t>
      </w:r>
    </w:p>
    <w:p>
      <w:pPr>
        <w:keepNext/>
        <w:spacing w:after="200"/>
      </w:pPr>
      <w:r>
        <w:rPr>
          <w:rFonts w:ascii="Inter" w:hAnsi="Inter" w:eastAsia="Inter"/>
          <w:b/>
          <w:color w:val="1C6B73"/>
          <w:sz w:val="18"/>
        </w:rPr>
        <w:t>O PRODUTO DE ENTRADA PARA PROVAR A OPERAÇÃO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</w:tblGrid>
      <w:tr>
        <w:tc>
          <w:tcPr>
            <w:tcW w:type="dxa" w:w="10092"/>
            <w:shd w:fill="E3A32B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Inter" w:hAnsi="Inter" w:eastAsia="Inter"/>
                <w:sz w:val="2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2"/>
            <w:shd w:fill="F7F9F6" w:val="clear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</w:tcBorders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Inter" w:hAnsi="Inter" w:eastAsia="Inter"/>
                <w:b/>
                <w:color w:val="1E4D3B"/>
                <w:sz w:val="34"/>
              </w:rPr>
              <w:t>4</w:t>
            </w:r>
          </w:p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5C6661"/>
                <w:sz w:val="16"/>
              </w:rPr>
              <w:t>territórios parceiros</w:t>
            </w:r>
          </w:p>
        </w:tc>
        <w:tc>
          <w:tcPr>
            <w:tcW w:type="dxa" w:w="2522"/>
            <w:shd w:fill="FFFFFF" w:val="clear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</w:tcBorders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Inter" w:hAnsi="Inter" w:eastAsia="Inter"/>
                <w:b/>
                <w:color w:val="1E4D3B"/>
                <w:sz w:val="34"/>
              </w:rPr>
              <w:t>8</w:t>
            </w:r>
          </w:p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5C6661"/>
                <w:sz w:val="16"/>
              </w:rPr>
              <w:t>ativações presenciais</w:t>
            </w:r>
          </w:p>
        </w:tc>
        <w:tc>
          <w:tcPr>
            <w:tcW w:type="dxa" w:w="2522"/>
            <w:shd w:fill="F7F9F6" w:val="clear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</w:tcBorders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Inter" w:hAnsi="Inter" w:eastAsia="Inter"/>
                <w:b/>
                <w:color w:val="1E4D3B"/>
                <w:sz w:val="34"/>
              </w:rPr>
              <w:t>160</w:t>
            </w:r>
          </w:p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5C6661"/>
                <w:sz w:val="16"/>
              </w:rPr>
              <w:t>participantes diretos</w:t>
            </w:r>
          </w:p>
        </w:tc>
        <w:tc>
          <w:tcPr>
            <w:tcW w:type="dxa" w:w="2522"/>
            <w:shd w:fill="FFFFFF" w:val="clear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</w:tcBorders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Inter" w:hAnsi="Inter" w:eastAsia="Inter"/>
                <w:b/>
                <w:color w:val="1E4D3B"/>
                <w:sz w:val="34"/>
              </w:rPr>
              <w:t>4</w:t>
            </w:r>
          </w:p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5C6661"/>
                <w:sz w:val="16"/>
              </w:rPr>
              <w:t>soluções demonstrativas</w:t>
            </w:r>
          </w:p>
        </w:tc>
      </w:tr>
    </w:tbl>
    <w:p>
      <w:pPr>
        <w:spacing w:after="0" w:before="0" w:line="120" w:lineRule="exact"/>
      </w:pPr>
      <w:r>
        <w:rPr>
          <w:rFonts w:ascii="Inter" w:hAnsi="Inter" w:eastAsia="Inter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700"/>
            <w:shd w:fill="1E4D3B" w:val="clea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1E4D3B"/>
              <w:left w:val="single" w:sz="4" w:color="FFFFFF"/>
              <w:bottom w:val="single" w:sz="4" w:color="1E4D3B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Período</w:t>
            </w:r>
          </w:p>
        </w:tc>
        <w:tc>
          <w:tcPr>
            <w:tcW w:type="dxa" w:w="3061"/>
            <w:shd w:fill="1E4D3B" w:val="clea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1E4D3B"/>
              <w:left w:val="single" w:sz="4" w:color="FFFFFF"/>
              <w:bottom w:val="single" w:sz="4" w:color="1E4D3B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Marcos</w:t>
            </w:r>
          </w:p>
        </w:tc>
        <w:tc>
          <w:tcPr>
            <w:tcW w:type="dxa" w:w="5329"/>
            <w:shd w:fill="1E4D3B" w:val="clea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1E4D3B"/>
              <w:left w:val="single" w:sz="4" w:color="FFFFFF"/>
              <w:bottom w:val="single" w:sz="4" w:color="1E4D3B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Principais entregas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Mês 1</w:t>
            </w:r>
          </w:p>
        </w:tc>
        <w:tc>
          <w:tcPr>
            <w:tcW w:type="dxa" w:w="3061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Preparação e governança</w:t>
            </w:r>
          </w:p>
        </w:tc>
        <w:tc>
          <w:tcPr>
            <w:tcW w:type="dxa" w:w="5329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Formalização de parceiros; compras; protocolos de segurança; instrumentos de monitoramento; calendário fechado.</w:t>
            </w:r>
          </w:p>
        </w:tc>
      </w:tr>
      <w:tr>
        <w:trPr>
          <w:cantSplit/>
        </w:trPr>
        <w:tc>
          <w:tcPr>
            <w:tcW w:type="dxa" w:w="1700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Meses 2–3</w:t>
            </w:r>
          </w:p>
        </w:tc>
        <w:tc>
          <w:tcPr>
            <w:tcW w:type="dxa" w:w="3061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Primeiro ciclo de campo</w:t>
            </w:r>
          </w:p>
        </w:tc>
        <w:tc>
          <w:tcPr>
            <w:tcW w:type="dxa" w:w="5329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Quatro ativações; duas soluções implantadas; revisão de custos, adesão e logística.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Mês 4</w:t>
            </w:r>
          </w:p>
        </w:tc>
        <w:tc>
          <w:tcPr>
            <w:tcW w:type="dxa" w:w="3061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Avaliação intermediária</w:t>
            </w:r>
          </w:p>
        </w:tc>
        <w:tc>
          <w:tcPr>
            <w:tcW w:type="dxa" w:w="5329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Devolutivas; manutenção; pesquisa de adoção; ajustes metodológicos; decisão sobre segundo ciclo.</w:t>
            </w:r>
          </w:p>
        </w:tc>
      </w:tr>
      <w:tr>
        <w:trPr>
          <w:cantSplit/>
        </w:trPr>
        <w:tc>
          <w:tcPr>
            <w:tcW w:type="dxa" w:w="1700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Meses 5–6</w:t>
            </w:r>
          </w:p>
        </w:tc>
        <w:tc>
          <w:tcPr>
            <w:tcW w:type="dxa" w:w="3061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Segundo ciclo e prestação de contas</w:t>
            </w:r>
          </w:p>
        </w:tc>
        <w:tc>
          <w:tcPr>
            <w:tcW w:type="dxa" w:w="5329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Quatro ativações; duas soluções; relatório final; registro audiovisual; plano de escala.</w:t>
            </w:r>
          </w:p>
        </w:tc>
      </w:tr>
    </w:tbl>
    <w:p>
      <w:pPr>
        <w:spacing w:after="0" w:before="0" w:line="120" w:lineRule="exact"/>
      </w:pPr>
      <w:r>
        <w:rPr>
          <w:rFonts w:ascii="Inter" w:hAnsi="Inter" w:eastAsia="Inter"/>
          <w:sz w:val="2"/>
        </w:rPr>
        <w:t xml:space="preserve"> </w:t>
      </w:r>
    </w:p>
    <w:p>
      <w:pPr>
        <w:spacing w:before="0" w:after="120" w:line="269" w:lineRule="auto"/>
      </w:pPr>
      <w:r>
        <w:rPr>
          <w:rFonts w:ascii="Inter" w:hAnsi="Inter" w:eastAsia="Inter"/>
          <w:b/>
          <w:color w:val="1E2A25"/>
          <w:sz w:val="20"/>
        </w:rPr>
        <w:t>Entregáveis ao financiador</w:t>
      </w:r>
      <w:r>
        <w:rPr>
          <w:rFonts w:ascii="Inter" w:hAnsi="Inter" w:eastAsia="Inter"/>
          <w:i w:val="0"/>
          <w:color w:val="1E2A25"/>
          <w:sz w:val="20"/>
        </w:rPr>
      </w:r>
    </w:p>
    <w:p>
      <w:pPr>
        <w:pStyle w:val="ListBullet"/>
        <w:spacing w:after="40" w:line="252" w:lineRule="auto"/>
        <w:ind w:left="312" w:hanging="125"/>
      </w:pPr>
      <w:r>
        <w:rPr>
          <w:rFonts w:ascii="Inter" w:hAnsi="Inter" w:eastAsia="Inter"/>
          <w:b/>
          <w:color w:val="1E2A25"/>
          <w:sz w:val="19"/>
        </w:rPr>
        <w:t xml:space="preserve">Painel de impacto: </w:t>
      </w:r>
      <w:r>
        <w:rPr>
          <w:rFonts w:ascii="Inter" w:hAnsi="Inter" w:eastAsia="Inter"/>
          <w:color w:val="1E2A25"/>
          <w:sz w:val="19"/>
        </w:rPr>
        <w:t>indicadores por território, perfil de participantes, presença, aprendizagem, adoção e infraestrutura implantada.</w:t>
      </w:r>
    </w:p>
    <w:p>
      <w:pPr>
        <w:pStyle w:val="ListBullet"/>
        <w:spacing w:after="40" w:line="252" w:lineRule="auto"/>
        <w:ind w:left="312" w:hanging="125"/>
      </w:pPr>
      <w:r>
        <w:rPr>
          <w:rFonts w:ascii="Inter" w:hAnsi="Inter" w:eastAsia="Inter"/>
          <w:b/>
          <w:color w:val="1E2A25"/>
          <w:sz w:val="19"/>
        </w:rPr>
        <w:t xml:space="preserve">Prestação financeira: </w:t>
      </w:r>
      <w:r>
        <w:rPr>
          <w:rFonts w:ascii="Inter" w:hAnsi="Inter" w:eastAsia="Inter"/>
          <w:color w:val="1E2A25"/>
          <w:sz w:val="19"/>
        </w:rPr>
        <w:t>orçado versus realizado, comprovantes organizados e justificativas de desvios.</w:t>
      </w:r>
    </w:p>
    <w:p>
      <w:pPr>
        <w:pStyle w:val="ListBullet"/>
        <w:spacing w:after="40" w:line="252" w:lineRule="auto"/>
        <w:ind w:left="312" w:hanging="125"/>
      </w:pPr>
      <w:r>
        <w:rPr>
          <w:rFonts w:ascii="Inter" w:hAnsi="Inter" w:eastAsia="Inter"/>
          <w:b/>
          <w:color w:val="1E2A25"/>
          <w:sz w:val="19"/>
        </w:rPr>
        <w:t xml:space="preserve">Relatório de campo: </w:t>
      </w:r>
      <w:r>
        <w:rPr>
          <w:rFonts w:ascii="Inter" w:hAnsi="Inter" w:eastAsia="Inter"/>
          <w:color w:val="1E2A25"/>
          <w:sz w:val="19"/>
        </w:rPr>
        <w:t>riscos, incidentes, lições, depoimentos autorizados e recomendações de escala.</w:t>
      </w:r>
    </w:p>
    <w:p>
      <w:pPr>
        <w:pStyle w:val="ListBullet"/>
        <w:spacing w:after="40" w:line="252" w:lineRule="auto"/>
        <w:ind w:left="312" w:hanging="125"/>
      </w:pPr>
      <w:r>
        <w:rPr>
          <w:rFonts w:ascii="Inter" w:hAnsi="Inter" w:eastAsia="Inter"/>
          <w:b/>
          <w:color w:val="1E2A25"/>
          <w:sz w:val="19"/>
        </w:rPr>
        <w:t xml:space="preserve">Registro audiovisual: </w:t>
      </w:r>
      <w:r>
        <w:rPr>
          <w:rFonts w:ascii="Inter" w:hAnsi="Inter" w:eastAsia="Inter"/>
          <w:color w:val="1E2A25"/>
          <w:sz w:val="19"/>
        </w:rPr>
        <w:t>peça curta de 3 a 5 minutos e banco de imagens com consentimento.</w:t>
      </w:r>
    </w:p>
    <w:p>
      <w:pPr>
        <w:pStyle w:val="ListBullet"/>
        <w:spacing w:after="40" w:line="252" w:lineRule="auto"/>
        <w:ind w:left="312" w:hanging="125"/>
      </w:pPr>
      <w:r>
        <w:rPr>
          <w:rFonts w:ascii="Inter" w:hAnsi="Inter" w:eastAsia="Inter"/>
          <w:b/>
          <w:color w:val="1E2A25"/>
          <w:sz w:val="19"/>
        </w:rPr>
        <w:t xml:space="preserve">Plano de continuidade: </w:t>
      </w:r>
      <w:r>
        <w:rPr>
          <w:rFonts w:ascii="Inter" w:hAnsi="Inter" w:eastAsia="Inter"/>
          <w:color w:val="1E2A25"/>
          <w:sz w:val="19"/>
        </w:rPr>
        <w:t>responsáveis locais, agenda de manutenção e próximos financiamentos.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fill="F4F0E6" w:val="clear"/>
            <w:tcBorders>
              <w:top w:val="nil"/>
              <w:left w:val="single" w:sz="22" w:color="E3A32B"/>
              <w:bottom w:val="nil"/>
              <w:right w:val="nil"/>
            </w:tcBorders>
            <w:tcMar>
              <w:top w:w="150" w:type="dxa"/>
              <w:start w:w="21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Inter" w:hAnsi="Inter" w:eastAsia="Inter"/>
                <w:b/>
                <w:color w:val="1E4D3B"/>
                <w:sz w:val="21"/>
              </w:rPr>
              <w:t>Critério de avanço para ônibus e barco</w:t>
            </w:r>
          </w:p>
          <w:p>
            <w:pPr>
              <w:spacing w:after="0" w:line="259" w:lineRule="auto"/>
            </w:pPr>
            <w:r>
              <w:rPr>
                <w:rFonts w:ascii="Inter" w:hAnsi="Inter" w:eastAsia="Inter"/>
                <w:color w:val="1E2A25"/>
                <w:sz w:val="18"/>
              </w:rPr>
              <w:t>A fase seguinte só será recomendada se o piloto entregar pelo menos 80% das atividades, 75% de avaliação positiva, 60% de adoção de ao menos uma prática em 60 dias, quatro parceiros ativos e nenhuma ocorrência grave de segurança.</w:t>
            </w:r>
          </w:p>
        </w:tc>
      </w:tr>
    </w:tbl>
    <w:p>
      <w:r>
        <w:br w:type="page"/>
      </w:r>
    </w:p>
    <w:p>
      <w:pPr>
        <w:keepNext/>
        <w:spacing w:before="0" w:after="100"/>
      </w:pPr>
      <w:r>
        <w:rPr>
          <w:rFonts w:ascii="Inter" w:hAnsi="Inter" w:eastAsia="Inter"/>
          <w:b/>
          <w:color w:val="E3A32B"/>
          <w:sz w:val="22"/>
        </w:rPr>
        <w:t xml:space="preserve">06  </w:t>
      </w:r>
      <w:r>
        <w:rPr>
          <w:rFonts w:ascii="Inter" w:hAnsi="Inter" w:eastAsia="Inter"/>
          <w:b/>
          <w:color w:val="1E4D3B"/>
          <w:sz w:val="40"/>
        </w:rPr>
        <w:t>Métricas de impacto e aprendizagem</w:t>
      </w:r>
    </w:p>
    <w:p>
      <w:pPr>
        <w:keepNext/>
        <w:spacing w:after="200"/>
      </w:pPr>
      <w:r>
        <w:rPr>
          <w:rFonts w:ascii="Inter" w:hAnsi="Inter" w:eastAsia="Inter"/>
          <w:b/>
          <w:color w:val="1C6B73"/>
          <w:sz w:val="18"/>
        </w:rPr>
        <w:t>METAS CLARAS, DADOS VERIFICÁVEIS E SEM GREENWASHING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</w:tblGrid>
      <w:tr>
        <w:tc>
          <w:tcPr>
            <w:tcW w:type="dxa" w:w="10092"/>
            <w:shd w:fill="E3A32B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Inter" w:hAnsi="Inter" w:eastAsia="Inter"/>
                <w:sz w:val="2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700"/>
            <w:shd w:fill="1E4D3B" w:val="clea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1E4D3B"/>
              <w:left w:val="single" w:sz="4" w:color="FFFFFF"/>
              <w:bottom w:val="single" w:sz="4" w:color="1E4D3B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Dimensão</w:t>
            </w:r>
          </w:p>
        </w:tc>
        <w:tc>
          <w:tcPr>
            <w:tcW w:type="dxa" w:w="4138"/>
            <w:shd w:fill="1E4D3B" w:val="clea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1E4D3B"/>
              <w:left w:val="single" w:sz="4" w:color="FFFFFF"/>
              <w:bottom w:val="single" w:sz="4" w:color="1E4D3B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Indicador do piloto</w:t>
            </w:r>
          </w:p>
        </w:tc>
        <w:tc>
          <w:tcPr>
            <w:tcW w:type="dxa" w:w="4251"/>
            <w:shd w:fill="1E4D3B" w:val="clea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1E4D3B"/>
              <w:left w:val="single" w:sz="4" w:color="FFFFFF"/>
              <w:bottom w:val="single" w:sz="4" w:color="1E4D3B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Meta / método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Alcance</w:t>
            </w:r>
          </w:p>
        </w:tc>
        <w:tc>
          <w:tcPr>
            <w:tcW w:type="dxa" w:w="4138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Pessoas formadas e perfil do público</w:t>
            </w:r>
          </w:p>
        </w:tc>
        <w:tc>
          <w:tcPr>
            <w:tcW w:type="dxa" w:w="4251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160 participantes; dados desagregados conforme consentimento</w:t>
            </w:r>
          </w:p>
        </w:tc>
      </w:tr>
      <w:tr>
        <w:trPr>
          <w:cantSplit/>
        </w:trPr>
        <w:tc>
          <w:tcPr>
            <w:tcW w:type="dxa" w:w="1700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Entrega</w:t>
            </w:r>
          </w:p>
        </w:tc>
        <w:tc>
          <w:tcPr>
            <w:tcW w:type="dxa" w:w="4138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Ativações realizadas</w:t>
            </w:r>
          </w:p>
        </w:tc>
        <w:tc>
          <w:tcPr>
            <w:tcW w:type="dxa" w:w="4251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8 ações concluídas com lista, agenda e relatório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Aprendizagem</w:t>
            </w:r>
          </w:p>
        </w:tc>
        <w:tc>
          <w:tcPr>
            <w:tcW w:type="dxa" w:w="4138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Ganho de confiança e conhecimento</w:t>
            </w:r>
          </w:p>
        </w:tc>
        <w:tc>
          <w:tcPr>
            <w:tcW w:type="dxa" w:w="4251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≥ 75% de avaliação positiva em questionário pré/pós</w:t>
            </w:r>
          </w:p>
        </w:tc>
      </w:tr>
      <w:tr>
        <w:trPr>
          <w:cantSplit/>
        </w:trPr>
        <w:tc>
          <w:tcPr>
            <w:tcW w:type="dxa" w:w="1700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Adoção</w:t>
            </w:r>
          </w:p>
        </w:tc>
        <w:tc>
          <w:tcPr>
            <w:tcW w:type="dxa" w:w="4138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Participantes que aplicaram ao menos uma prática</w:t>
            </w:r>
          </w:p>
        </w:tc>
        <w:tc>
          <w:tcPr>
            <w:tcW w:type="dxa" w:w="4251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≥ 60% em acompanhamento de 30–60 dias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Legado</w:t>
            </w:r>
          </w:p>
        </w:tc>
        <w:tc>
          <w:tcPr>
            <w:tcW w:type="dxa" w:w="4138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Soluções demonstrativas ativas</w:t>
            </w:r>
          </w:p>
        </w:tc>
        <w:tc>
          <w:tcPr>
            <w:tcW w:type="dxa" w:w="4251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4 instalações com responsável e plano de manutenção</w:t>
            </w:r>
          </w:p>
        </w:tc>
      </w:tr>
      <w:tr>
        <w:trPr>
          <w:cantSplit/>
        </w:trPr>
        <w:tc>
          <w:tcPr>
            <w:tcW w:type="dxa" w:w="1700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Rede</w:t>
            </w:r>
          </w:p>
        </w:tc>
        <w:tc>
          <w:tcPr>
            <w:tcW w:type="dxa" w:w="4138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Organizações anfitriãs engajadas</w:t>
            </w:r>
          </w:p>
        </w:tc>
        <w:tc>
          <w:tcPr>
            <w:tcW w:type="dxa" w:w="4251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4 parceiros com termo e ponto focal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Sementes</w:t>
            </w:r>
          </w:p>
        </w:tc>
        <w:tc>
          <w:tcPr>
            <w:tcW w:type="dxa" w:w="4138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Kits distribuídos e rastreáveis</w:t>
            </w:r>
          </w:p>
        </w:tc>
        <w:tc>
          <w:tcPr>
            <w:tcW w:type="dxa" w:w="4251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160 kits, com orientação de cultivo e origem registrada</w:t>
            </w:r>
          </w:p>
        </w:tc>
      </w:tr>
      <w:tr>
        <w:trPr>
          <w:cantSplit/>
        </w:trPr>
        <w:tc>
          <w:tcPr>
            <w:tcW w:type="dxa" w:w="1700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Transparência</w:t>
            </w:r>
          </w:p>
        </w:tc>
        <w:tc>
          <w:tcPr>
            <w:tcW w:type="dxa" w:w="4138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Relatório e material audiovisual</w:t>
            </w:r>
          </w:p>
        </w:tc>
        <w:tc>
          <w:tcPr>
            <w:tcW w:type="dxa" w:w="4251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1 relatório consolidado + 1 vídeo final</w:t>
            </w:r>
          </w:p>
        </w:tc>
      </w:tr>
    </w:tbl>
    <w:p>
      <w:pPr>
        <w:spacing w:after="0" w:before="0" w:line="120" w:lineRule="exact"/>
      </w:pPr>
      <w:r>
        <w:rPr>
          <w:rFonts w:ascii="Inter" w:hAnsi="Inter" w:eastAsia="Inter"/>
          <w:sz w:val="2"/>
        </w:rPr>
        <w:t xml:space="preserve"> </w:t>
      </w:r>
    </w:p>
    <w:p>
      <w:pPr>
        <w:spacing w:before="0" w:after="120" w:line="269" w:lineRule="auto"/>
      </w:pPr>
      <w:r>
        <w:rPr>
          <w:rFonts w:ascii="Inter" w:hAnsi="Inter" w:eastAsia="Inter"/>
          <w:i w:val="0"/>
          <w:color w:val="1E2A25"/>
          <w:sz w:val="20"/>
        </w:rPr>
        <w:t>Indicadores ambientais serão medidos a partir da linha de base, e não divulgados como estimativas promocionais. Conforme o tipo de intervenção, o projeto registrará:</w:t>
      </w:r>
    </w:p>
    <w:p>
      <w:pPr>
        <w:pStyle w:val="ListBullet"/>
        <w:spacing w:after="40" w:line="252" w:lineRule="auto"/>
        <w:ind w:left="312" w:hanging="125"/>
      </w:pPr>
      <w:r>
        <w:rPr>
          <w:rFonts w:ascii="Inter" w:hAnsi="Inter" w:eastAsia="Inter"/>
          <w:color w:val="1E2A25"/>
          <w:sz w:val="19"/>
        </w:rPr>
        <w:t>quilowatt-hora gerado por sistemas demonstrativos e uso evitado de geradores;</w:t>
      </w:r>
    </w:p>
    <w:p>
      <w:pPr>
        <w:pStyle w:val="ListBullet"/>
        <w:spacing w:after="40" w:line="252" w:lineRule="auto"/>
        <w:ind w:left="312" w:hanging="125"/>
      </w:pPr>
      <w:r>
        <w:rPr>
          <w:rFonts w:ascii="Inter" w:hAnsi="Inter" w:eastAsia="Inter"/>
          <w:color w:val="1E2A25"/>
          <w:sz w:val="19"/>
        </w:rPr>
        <w:t>metros quadrados manejados ou cultivados e sobrevivência das mudas;</w:t>
      </w:r>
    </w:p>
    <w:p>
      <w:pPr>
        <w:pStyle w:val="ListBullet"/>
        <w:spacing w:after="40" w:line="252" w:lineRule="auto"/>
        <w:ind w:left="312" w:hanging="125"/>
      </w:pPr>
      <w:r>
        <w:rPr>
          <w:rFonts w:ascii="Inter" w:hAnsi="Inter" w:eastAsia="Inter"/>
          <w:color w:val="1E2A25"/>
          <w:sz w:val="19"/>
        </w:rPr>
        <w:t>litros tratados ou desviados por sistemas de água, quando tecnicamente aplicável;</w:t>
      </w:r>
    </w:p>
    <w:p>
      <w:pPr>
        <w:pStyle w:val="ListBullet"/>
        <w:spacing w:after="40" w:line="252" w:lineRule="auto"/>
        <w:ind w:left="312" w:hanging="125"/>
      </w:pPr>
      <w:r>
        <w:rPr>
          <w:rFonts w:ascii="Inter" w:hAnsi="Inter" w:eastAsia="Inter"/>
          <w:color w:val="1E2A25"/>
          <w:sz w:val="19"/>
        </w:rPr>
        <w:t>quilogramas de resíduos orgânicos destinados à compostagem;</w:t>
      </w:r>
    </w:p>
    <w:p>
      <w:pPr>
        <w:pStyle w:val="ListBullet"/>
        <w:spacing w:after="40" w:line="252" w:lineRule="auto"/>
        <w:ind w:left="312" w:hanging="125"/>
      </w:pPr>
      <w:r>
        <w:rPr>
          <w:rFonts w:ascii="Inter" w:hAnsi="Inter" w:eastAsia="Inter"/>
          <w:color w:val="1E2A25"/>
          <w:sz w:val="19"/>
        </w:rPr>
        <w:t>quantidade, origem e destino de sementes e mudas distribuídas.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fill="E9F0F2" w:val="clear"/>
            <w:tcBorders>
              <w:top w:val="nil"/>
              <w:left w:val="single" w:sz="22" w:color="1C6B73"/>
              <w:bottom w:val="nil"/>
              <w:right w:val="nil"/>
            </w:tcBorders>
            <w:tcMar>
              <w:top w:w="150" w:type="dxa"/>
              <w:start w:w="21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Inter" w:hAnsi="Inter" w:eastAsia="Inter"/>
                <w:b/>
                <w:color w:val="1E4D3B"/>
                <w:sz w:val="21"/>
              </w:rPr>
              <w:t>Alinhamento potencial</w:t>
            </w:r>
          </w:p>
          <w:p>
            <w:pPr>
              <w:spacing w:after="0" w:line="259" w:lineRule="auto"/>
            </w:pPr>
            <w:r>
              <w:rPr>
                <w:rFonts w:ascii="Inter" w:hAnsi="Inter" w:eastAsia="Inter"/>
                <w:color w:val="1E2A25"/>
                <w:sz w:val="18"/>
              </w:rPr>
              <w:t>Educação de qualidade; água e saneamento; energia limpa; cidades sustentáveis; consumo responsável; ação climática; vida terrestre. O alinhamento a ODS orienta o relatório, mas não substitui indicadores próprios e verificáveis.</w:t>
            </w:r>
          </w:p>
        </w:tc>
      </w:tr>
    </w:tbl>
    <w:p>
      <w:r>
        <w:br w:type="page"/>
      </w:r>
    </w:p>
    <w:p>
      <w:pPr>
        <w:keepNext/>
        <w:spacing w:before="0" w:after="100"/>
      </w:pPr>
      <w:r>
        <w:rPr>
          <w:rFonts w:ascii="Inter" w:hAnsi="Inter" w:eastAsia="Inter"/>
          <w:b/>
          <w:color w:val="E3A32B"/>
          <w:sz w:val="22"/>
        </w:rPr>
        <w:t xml:space="preserve">07  </w:t>
      </w:r>
      <w:r>
        <w:rPr>
          <w:rFonts w:ascii="Inter" w:hAnsi="Inter" w:eastAsia="Inter"/>
          <w:b/>
          <w:color w:val="1E4D3B"/>
          <w:sz w:val="40"/>
        </w:rPr>
        <w:t>Orçamento do piloto e eficiência do aporte</w:t>
      </w:r>
    </w:p>
    <w:p>
      <w:pPr>
        <w:keepNext/>
        <w:spacing w:after="200"/>
      </w:pPr>
      <w:r>
        <w:rPr>
          <w:rFonts w:ascii="Inter" w:hAnsi="Inter" w:eastAsia="Inter"/>
          <w:b/>
          <w:color w:val="1C6B73"/>
          <w:sz w:val="18"/>
        </w:rPr>
        <w:t>R$ 85 MIL PARA VALIDAR O MODELO ANTES DO CAPEX MAIOR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</w:tblGrid>
      <w:tr>
        <w:tc>
          <w:tcPr>
            <w:tcW w:type="dxa" w:w="10092"/>
            <w:shd w:fill="E3A32B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Inter" w:hAnsi="Inter" w:eastAsia="Inter"/>
                <w:sz w:val="2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324"/>
            <w:shd w:fill="1E4D3B" w:val="clea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1E4D3B"/>
              <w:left w:val="single" w:sz="4" w:color="FFFFFF"/>
              <w:bottom w:val="single" w:sz="4" w:color="1E4D3B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Categoria</w:t>
            </w:r>
          </w:p>
        </w:tc>
        <w:tc>
          <w:tcPr>
            <w:tcW w:type="dxa" w:w="4592"/>
            <w:shd w:fill="1E4D3B" w:val="clea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1E4D3B"/>
              <w:left w:val="single" w:sz="4" w:color="FFFFFF"/>
              <w:bottom w:val="single" w:sz="4" w:color="1E4D3B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Uso previsto</w:t>
            </w:r>
          </w:p>
        </w:tc>
        <w:tc>
          <w:tcPr>
            <w:tcW w:type="dxa" w:w="1814"/>
            <w:shd w:fill="1E4D3B" w:val="clea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1E4D3B"/>
              <w:left w:val="single" w:sz="4" w:color="FFFFFF"/>
              <w:bottom w:val="single" w:sz="4" w:color="1E4D3B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Valor</w:t>
            </w:r>
          </w:p>
        </w:tc>
        <w:tc>
          <w:tcPr>
            <w:tcW w:type="dxa" w:w="1360"/>
            <w:shd w:fill="1E4D3B" w:val="clea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1E4D3B"/>
              <w:left w:val="single" w:sz="4" w:color="FFFFFF"/>
              <w:bottom w:val="single" w:sz="4" w:color="1E4D3B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%</w:t>
            </w:r>
          </w:p>
        </w:tc>
      </w:tr>
      <w:tr>
        <w:trPr>
          <w:cantSplit/>
        </w:trPr>
        <w:tc>
          <w:tcPr>
            <w:tcW w:type="dxa" w:w="2324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Cargo bikes e kits solares</w:t>
            </w:r>
          </w:p>
        </w:tc>
        <w:tc>
          <w:tcPr>
            <w:tcW w:type="dxa" w:w="4592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3 bicicletas de carga, caixas, painéis, bateria/inversor e adequações</w:t>
            </w:r>
          </w:p>
        </w:tc>
        <w:tc>
          <w:tcPr>
            <w:tcW w:type="dxa" w:w="1814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R$ 18.000</w:t>
            </w:r>
          </w:p>
        </w:tc>
        <w:tc>
          <w:tcPr>
            <w:tcW w:type="dxa" w:w="1360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21%</w:t>
            </w:r>
          </w:p>
        </w:tc>
      </w:tr>
      <w:tr>
        <w:trPr>
          <w:cantSplit/>
        </w:trPr>
        <w:tc>
          <w:tcPr>
            <w:tcW w:type="dxa" w:w="2324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Equipamentos e materiais pedagógicos</w:t>
            </w:r>
          </w:p>
        </w:tc>
        <w:tc>
          <w:tcPr>
            <w:tcW w:type="dxa" w:w="4592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Ferramentas, sementes, módulos de água/solo/energia e itens reutilizáveis</w:t>
            </w:r>
          </w:p>
        </w:tc>
        <w:tc>
          <w:tcPr>
            <w:tcW w:type="dxa" w:w="1814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R$ 8.000</w:t>
            </w:r>
          </w:p>
        </w:tc>
        <w:tc>
          <w:tcPr>
            <w:tcW w:type="dxa" w:w="1360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9%</w:t>
            </w:r>
          </w:p>
        </w:tc>
      </w:tr>
      <w:tr>
        <w:trPr>
          <w:cantSplit/>
        </w:trPr>
        <w:tc>
          <w:tcPr>
            <w:tcW w:type="dxa" w:w="2324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Implementação de campo</w:t>
            </w:r>
          </w:p>
        </w:tc>
        <w:tc>
          <w:tcPr>
            <w:tcW w:type="dxa" w:w="4592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Insumos, alimentação, mobilização e logística de 8 ativações</w:t>
            </w:r>
          </w:p>
        </w:tc>
        <w:tc>
          <w:tcPr>
            <w:tcW w:type="dxa" w:w="1814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R$ 20.000</w:t>
            </w:r>
          </w:p>
        </w:tc>
        <w:tc>
          <w:tcPr>
            <w:tcW w:type="dxa" w:w="1360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24%</w:t>
            </w:r>
          </w:p>
        </w:tc>
      </w:tr>
      <w:tr>
        <w:trPr>
          <w:cantSplit/>
        </w:trPr>
        <w:tc>
          <w:tcPr>
            <w:tcW w:type="dxa" w:w="2324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Equipe e facilitação</w:t>
            </w:r>
          </w:p>
        </w:tc>
        <w:tc>
          <w:tcPr>
            <w:tcW w:type="dxa" w:w="4592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Coordenação, preparação, facilitação, acompanhamento e apoios locais</w:t>
            </w:r>
          </w:p>
        </w:tc>
        <w:tc>
          <w:tcPr>
            <w:tcW w:type="dxa" w:w="1814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R$ 24.000</w:t>
            </w:r>
          </w:p>
        </w:tc>
        <w:tc>
          <w:tcPr>
            <w:tcW w:type="dxa" w:w="1360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28%</w:t>
            </w:r>
          </w:p>
        </w:tc>
      </w:tr>
      <w:tr>
        <w:trPr>
          <w:cantSplit/>
        </w:trPr>
        <w:tc>
          <w:tcPr>
            <w:tcW w:type="dxa" w:w="2324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Comunicação e mensuração</w:t>
            </w:r>
          </w:p>
        </w:tc>
        <w:tc>
          <w:tcPr>
            <w:tcW w:type="dxa" w:w="4592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Registro, edição, instrumentos de dados, relatório e design</w:t>
            </w:r>
          </w:p>
        </w:tc>
        <w:tc>
          <w:tcPr>
            <w:tcW w:type="dxa" w:w="1814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R$ 8.000</w:t>
            </w:r>
          </w:p>
        </w:tc>
        <w:tc>
          <w:tcPr>
            <w:tcW w:type="dxa" w:w="1360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9%</w:t>
            </w:r>
          </w:p>
        </w:tc>
      </w:tr>
      <w:tr>
        <w:trPr>
          <w:cantSplit/>
        </w:trPr>
        <w:tc>
          <w:tcPr>
            <w:tcW w:type="dxa" w:w="2324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Seguros, administração e contingência</w:t>
            </w:r>
          </w:p>
        </w:tc>
        <w:tc>
          <w:tcPr>
            <w:tcW w:type="dxa" w:w="4592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Coberturas, taxas, manutenção inicial e reserva de risco</w:t>
            </w:r>
          </w:p>
        </w:tc>
        <w:tc>
          <w:tcPr>
            <w:tcW w:type="dxa" w:w="1814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R$ 7.000</w:t>
            </w:r>
          </w:p>
        </w:tc>
        <w:tc>
          <w:tcPr>
            <w:tcW w:type="dxa" w:w="1360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8%</w:t>
            </w:r>
          </w:p>
        </w:tc>
      </w:tr>
      <w:tr>
        <w:trPr>
          <w:cantSplit/>
        </w:trPr>
        <w:tc>
          <w:tcPr>
            <w:tcW w:type="dxa" w:w="2324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TOTAL</w:t>
            </w:r>
          </w:p>
        </w:tc>
        <w:tc>
          <w:tcPr>
            <w:tcW w:type="dxa" w:w="4592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Piloto de seis meses</w:t>
            </w:r>
          </w:p>
        </w:tc>
        <w:tc>
          <w:tcPr>
            <w:tcW w:type="dxa" w:w="1814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R$ 85.000</w:t>
            </w:r>
          </w:p>
        </w:tc>
        <w:tc>
          <w:tcPr>
            <w:tcW w:type="dxa" w:w="1360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100%</w:t>
            </w:r>
          </w:p>
        </w:tc>
      </w:tr>
    </w:tbl>
    <w:p>
      <w:pPr>
        <w:spacing w:after="0" w:before="0" w:line="140" w:lineRule="exact"/>
      </w:pPr>
      <w:r>
        <w:rPr>
          <w:rFonts w:ascii="Inter" w:hAnsi="Inter" w:eastAsia="Inter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2"/>
            <w:shd w:fill="F4F0E6" w:val="clear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</w:tcBorders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Inter" w:hAnsi="Inter" w:eastAsia="Inter"/>
                <w:b/>
                <w:color w:val="1E4D3B"/>
                <w:sz w:val="34"/>
              </w:rPr>
              <w:t>R$ 10.625</w:t>
            </w:r>
          </w:p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5C6661"/>
                <w:sz w:val="16"/>
              </w:rPr>
              <w:t>custo por ativação</w:t>
            </w:r>
          </w:p>
        </w:tc>
        <w:tc>
          <w:tcPr>
            <w:tcW w:type="dxa" w:w="2522"/>
            <w:shd w:fill="FFFFFF" w:val="clear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</w:tcBorders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Inter" w:hAnsi="Inter" w:eastAsia="Inter"/>
                <w:b/>
                <w:color w:val="1E4D3B"/>
                <w:sz w:val="34"/>
              </w:rPr>
              <w:t>R$ 531</w:t>
            </w:r>
          </w:p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5C6661"/>
                <w:sz w:val="16"/>
              </w:rPr>
              <w:t>custo por participante no piloto</w:t>
            </w:r>
          </w:p>
        </w:tc>
        <w:tc>
          <w:tcPr>
            <w:tcW w:type="dxa" w:w="2522"/>
            <w:shd w:fill="F4F0E6" w:val="clear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</w:tcBorders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Inter" w:hAnsi="Inter" w:eastAsia="Inter"/>
                <w:b/>
                <w:color w:val="1E4D3B"/>
                <w:sz w:val="34"/>
              </w:rPr>
              <w:t>R$ 419</w:t>
            </w:r>
          </w:p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5C6661"/>
                <w:sz w:val="16"/>
              </w:rPr>
              <w:t>custo recorrente por participante sem o CapEx inicial</w:t>
            </w:r>
          </w:p>
        </w:tc>
        <w:tc>
          <w:tcPr>
            <w:tcW w:type="dxa" w:w="2522"/>
            <w:shd w:fill="FFFFFF" w:val="clear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</w:tcBorders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Inter" w:hAnsi="Inter" w:eastAsia="Inter"/>
                <w:b/>
                <w:color w:val="1E4D3B"/>
                <w:sz w:val="34"/>
              </w:rPr>
              <w:t>21%</w:t>
            </w:r>
          </w:p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5C6661"/>
                <w:sz w:val="16"/>
              </w:rPr>
              <w:t>do aporte vira ativo reutilizável</w:t>
            </w:r>
          </w:p>
        </w:tc>
      </w:tr>
    </w:tbl>
    <w:p>
      <w:pPr>
        <w:spacing w:after="0" w:before="0" w:line="120" w:lineRule="exact"/>
      </w:pPr>
      <w:r>
        <w:rPr>
          <w:rFonts w:ascii="Inter" w:hAnsi="Inter" w:eastAsia="Inter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fill="E7F0EA" w:val="clear"/>
            <w:tcBorders>
              <w:top w:val="nil"/>
              <w:left w:val="single" w:sz="22" w:color="1C6B73"/>
              <w:bottom w:val="nil"/>
              <w:right w:val="nil"/>
            </w:tcBorders>
            <w:tcMar>
              <w:top w:w="150" w:type="dxa"/>
              <w:start w:w="21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Inter" w:hAnsi="Inter" w:eastAsia="Inter"/>
                <w:b/>
                <w:color w:val="1E4D3B"/>
                <w:sz w:val="21"/>
              </w:rPr>
              <w:t>Premissas financeiras</w:t>
            </w:r>
          </w:p>
          <w:p>
            <w:pPr>
              <w:spacing w:after="0" w:line="259" w:lineRule="auto"/>
            </w:pPr>
            <w:r>
              <w:rPr>
                <w:rFonts w:ascii="Inter" w:hAnsi="Inter" w:eastAsia="Inter"/>
                <w:color w:val="1E2A25"/>
                <w:sz w:val="18"/>
              </w:rPr>
              <w:t>Valores preliminares em reais, sujeitos a três cotações, localização, impostos, seguro e desenho final das atividades. O orçamento não inclui ônibus, barco nem obras permanentes. Desvios superiores a 10% devem ser aprovados conforme o acordo de financiamento.</w:t>
            </w:r>
          </w:p>
        </w:tc>
      </w:tr>
    </w:tbl>
    <w:p>
      <w:r>
        <w:br w:type="page"/>
      </w:r>
    </w:p>
    <w:p>
      <w:pPr>
        <w:keepNext/>
        <w:spacing w:before="0" w:after="100"/>
      </w:pPr>
      <w:r>
        <w:rPr>
          <w:rFonts w:ascii="Inter" w:hAnsi="Inter" w:eastAsia="Inter"/>
          <w:b/>
          <w:color w:val="E3A32B"/>
          <w:sz w:val="22"/>
        </w:rPr>
        <w:t xml:space="preserve">08  </w:t>
      </w:r>
      <w:r>
        <w:rPr>
          <w:rFonts w:ascii="Inter" w:hAnsi="Inter" w:eastAsia="Inter"/>
          <w:b/>
          <w:color w:val="1E4D3B"/>
          <w:sz w:val="40"/>
        </w:rPr>
        <w:t>Sustentabilidade financeira e caminho de escala</w:t>
      </w:r>
    </w:p>
    <w:p>
      <w:pPr>
        <w:keepNext/>
        <w:spacing w:after="200"/>
      </w:pPr>
      <w:r>
        <w:rPr>
          <w:rFonts w:ascii="Inter" w:hAnsi="Inter" w:eastAsia="Inter"/>
          <w:b/>
          <w:color w:val="1C6B73"/>
          <w:sz w:val="18"/>
        </w:rPr>
        <w:t>RECEITA HÍBRIDA, ATIVOS POR ETAPAS E DISCIPLINA DE CAIXA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</w:tblGrid>
      <w:tr>
        <w:tc>
          <w:tcPr>
            <w:tcW w:type="dxa" w:w="10092"/>
            <w:shd w:fill="E3A32B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Inter" w:hAnsi="Inter" w:eastAsia="Inter"/>
                <w:sz w:val="2"/>
              </w:rPr>
            </w:r>
          </w:p>
        </w:tc>
      </w:tr>
    </w:tbl>
    <w:p>
      <w:pPr>
        <w:spacing w:after="40"/>
      </w:pPr>
    </w:p>
    <w:p>
      <w:pPr>
        <w:spacing w:before="0" w:after="120" w:line="269" w:lineRule="auto"/>
      </w:pPr>
      <w:r>
        <w:rPr>
          <w:rFonts w:ascii="Inter" w:hAnsi="Inter" w:eastAsia="Inter"/>
          <w:i w:val="0"/>
          <w:color w:val="1E2A25"/>
          <w:sz w:val="20"/>
        </w:rPr>
        <w:t>O modelo combina quatro fontes para reduzir dependência de uma única linha de recursos: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2267"/>
            <w:shd w:fill="1E4D3B" w:val="clea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1E4D3B"/>
              <w:left w:val="single" w:sz="4" w:color="FFFFFF"/>
              <w:bottom w:val="single" w:sz="4" w:color="1E4D3B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Fonte</w:t>
            </w:r>
          </w:p>
        </w:tc>
        <w:tc>
          <w:tcPr>
            <w:tcW w:type="dxa" w:w="3968"/>
            <w:shd w:fill="1E4D3B" w:val="clea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1E4D3B"/>
              <w:left w:val="single" w:sz="4" w:color="FFFFFF"/>
              <w:bottom w:val="single" w:sz="4" w:color="1E4D3B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Papel no modelo</w:t>
            </w:r>
          </w:p>
        </w:tc>
        <w:tc>
          <w:tcPr>
            <w:tcW w:type="dxa" w:w="3855"/>
            <w:shd w:fill="1E4D3B" w:val="clea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1E4D3B"/>
              <w:left w:val="single" w:sz="4" w:color="FFFFFF"/>
              <w:bottom w:val="single" w:sz="4" w:color="1E4D3B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Exemplos de oferta</w:t>
            </w:r>
          </w:p>
        </w:tc>
      </w:tr>
      <w:tr>
        <w:trPr>
          <w:cantSplit/>
        </w:trPr>
        <w:tc>
          <w:tcPr>
            <w:tcW w:type="dxa" w:w="2267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Patrocínios e editais</w:t>
            </w:r>
          </w:p>
        </w:tc>
        <w:tc>
          <w:tcPr>
            <w:tcW w:type="dxa" w:w="3968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Financiam acesso gratuito, inovação, impacto e expansão territorial</w:t>
            </w:r>
          </w:p>
        </w:tc>
        <w:tc>
          <w:tcPr>
            <w:tcW w:type="dxa" w:w="3855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Cotas ESG, fundações, fundos socioambientais e chamadas públicas</w:t>
            </w:r>
          </w:p>
        </w:tc>
      </w:tr>
      <w:tr>
        <w:trPr>
          <w:cantSplit/>
        </w:trPr>
        <w:tc>
          <w:tcPr>
            <w:tcW w:type="dxa" w:w="2267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Contratações institucionais</w:t>
            </w:r>
          </w:p>
        </w:tc>
        <w:tc>
          <w:tcPr>
            <w:tcW w:type="dxa" w:w="3968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Pagam programas fechados e recorrentes</w:t>
            </w:r>
          </w:p>
        </w:tc>
        <w:tc>
          <w:tcPr>
            <w:tcW w:type="dxa" w:w="3855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Prefeituras, escolas, universidades, Sesc/Senac e organizações sociais</w:t>
            </w:r>
          </w:p>
        </w:tc>
      </w:tr>
      <w:tr>
        <w:trPr>
          <w:cantSplit/>
        </w:trPr>
        <w:tc>
          <w:tcPr>
            <w:tcW w:type="dxa" w:w="2267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Cursos urbanos pagos</w:t>
            </w:r>
          </w:p>
        </w:tc>
        <w:tc>
          <w:tcPr>
            <w:tcW w:type="dxa" w:w="3968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Geram subsídio cruzado e validam disposição a pagar</w:t>
            </w:r>
          </w:p>
        </w:tc>
        <w:tc>
          <w:tcPr>
            <w:tcW w:type="dxa" w:w="3855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Imersões de fim de semana, formação de educadores e consultorias</w:t>
            </w:r>
          </w:p>
        </w:tc>
      </w:tr>
      <w:tr>
        <w:trPr>
          <w:cantSplit/>
        </w:trPr>
        <w:tc>
          <w:tcPr>
            <w:tcW w:type="dxa" w:w="2267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Produtos e comunidade</w:t>
            </w:r>
          </w:p>
        </w:tc>
        <w:tc>
          <w:tcPr>
            <w:tcW w:type="dxa" w:w="3968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Fortalecem marca e receita complementar</w:t>
            </w:r>
          </w:p>
        </w:tc>
        <w:tc>
          <w:tcPr>
            <w:tcW w:type="dxa" w:w="3855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Guias, kits, feiras, crowdfunding e apoio recorrente</w:t>
            </w:r>
          </w:p>
        </w:tc>
      </w:tr>
    </w:tbl>
    <w:p>
      <w:pPr>
        <w:spacing w:after="0" w:before="0" w:line="100" w:lineRule="exact"/>
      </w:pPr>
      <w:r>
        <w:rPr>
          <w:rFonts w:ascii="Inter" w:hAnsi="Inter" w:eastAsia="Inter"/>
          <w:sz w:val="2"/>
        </w:rPr>
        <w:t xml:space="preserve"> </w:t>
      </w:r>
    </w:p>
    <w:p>
      <w:pPr>
        <w:spacing w:before="0" w:after="120" w:line="269" w:lineRule="auto"/>
      </w:pPr>
      <w:r>
        <w:rPr>
          <w:rFonts w:ascii="Inter" w:hAnsi="Inter" w:eastAsia="Inter"/>
          <w:b/>
          <w:color w:val="1E2A25"/>
          <w:sz w:val="20"/>
        </w:rPr>
        <w:t>Escada de capital recomendada</w:t>
      </w:r>
      <w:r>
        <w:rPr>
          <w:rFonts w:ascii="Inter" w:hAnsi="Inter" w:eastAsia="Inter"/>
          <w:i w:val="0"/>
          <w:color w:val="1E2A25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2891"/>
            <w:shd w:fill="1E4D3B" w:val="clea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1E4D3B"/>
              <w:left w:val="single" w:sz="4" w:color="FFFFFF"/>
              <w:bottom w:val="single" w:sz="4" w:color="1E4D3B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Etapa</w:t>
            </w:r>
          </w:p>
        </w:tc>
        <w:tc>
          <w:tcPr>
            <w:tcW w:type="dxa" w:w="2324"/>
            <w:shd w:fill="1E4D3B" w:val="clea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1E4D3B"/>
              <w:left w:val="single" w:sz="4" w:color="FFFFFF"/>
              <w:bottom w:val="single" w:sz="4" w:color="1E4D3B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Capital</w:t>
            </w:r>
          </w:p>
        </w:tc>
        <w:tc>
          <w:tcPr>
            <w:tcW w:type="dxa" w:w="4875"/>
            <w:shd w:fill="1E4D3B" w:val="clea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1E4D3B"/>
              <w:left w:val="single" w:sz="4" w:color="FFFFFF"/>
              <w:bottom w:val="single" w:sz="4" w:color="1E4D3B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Decisão liberada</w:t>
            </w:r>
          </w:p>
        </w:tc>
      </w:tr>
      <w:tr>
        <w:trPr>
          <w:cantSplit/>
        </w:trPr>
        <w:tc>
          <w:tcPr>
            <w:tcW w:type="dxa" w:w="2891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1. Piloto Ciclo-Permacultura</w:t>
            </w:r>
          </w:p>
        </w:tc>
        <w:tc>
          <w:tcPr>
            <w:tcW w:type="dxa" w:w="2324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R$ 85.000</w:t>
            </w:r>
          </w:p>
        </w:tc>
        <w:tc>
          <w:tcPr>
            <w:tcW w:type="dxa" w:w="4875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Valida metodologia, demanda, custos, governança e indicadores</w:t>
            </w:r>
          </w:p>
        </w:tc>
      </w:tr>
      <w:tr>
        <w:trPr>
          <w:cantSplit/>
        </w:trPr>
        <w:tc>
          <w:tcPr>
            <w:tcW w:type="dxa" w:w="2891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2. Frota multimodal (CapEx)</w:t>
            </w:r>
          </w:p>
        </w:tc>
        <w:tc>
          <w:tcPr>
            <w:tcW w:type="dxa" w:w="2324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Até R$ 250.000</w:t>
            </w:r>
          </w:p>
        </w:tc>
        <w:tc>
          <w:tcPr>
            <w:tcW w:type="dxa" w:w="4875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Aquisição e adaptação de ônibus, barco, reboque, bikes e sistemas solares</w:t>
            </w:r>
          </w:p>
        </w:tc>
      </w:tr>
      <w:tr>
        <w:trPr>
          <w:cantSplit/>
        </w:trPr>
        <w:tc>
          <w:tcPr>
            <w:tcW w:type="dxa" w:w="2891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3. Operação anual em escala</w:t>
            </w:r>
          </w:p>
        </w:tc>
        <w:tc>
          <w:tcPr>
            <w:tcW w:type="dxa" w:w="2324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R$ 285.000/ano (cenário indicativo)</w:t>
            </w:r>
          </w:p>
        </w:tc>
        <w:tc>
          <w:tcPr>
            <w:tcW w:type="dxa" w:w="4875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Mix de aproximadamente 10 ações/expedições, equipe fixa e manutenção</w:t>
            </w:r>
          </w:p>
        </w:tc>
      </w:tr>
    </w:tbl>
    <w:p>
      <w:pPr>
        <w:spacing w:after="0" w:before="0" w:line="100" w:lineRule="exact"/>
      </w:pPr>
      <w:r>
        <w:rPr>
          <w:rFonts w:ascii="Inter" w:hAnsi="Inter" w:eastAsia="Inter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fill="F4F0E6" w:val="clear"/>
            <w:tcBorders>
              <w:top w:val="nil"/>
              <w:left w:val="single" w:sz="22" w:color="E3A32B"/>
              <w:bottom w:val="nil"/>
              <w:right w:val="nil"/>
            </w:tcBorders>
            <w:tcMar>
              <w:top w:w="150" w:type="dxa"/>
              <w:start w:w="21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Inter" w:hAnsi="Inter" w:eastAsia="Inter"/>
                <w:b/>
                <w:color w:val="1E4D3B"/>
                <w:sz w:val="21"/>
              </w:rPr>
              <w:t>Risco financeiro principal</w:t>
            </w:r>
          </w:p>
          <w:p>
            <w:pPr>
              <w:spacing w:after="0" w:line="259" w:lineRule="auto"/>
            </w:pPr>
            <w:r>
              <w:rPr>
                <w:rFonts w:ascii="Inter" w:hAnsi="Inter" w:eastAsia="Inter"/>
                <w:color w:val="1E2A25"/>
                <w:sz w:val="18"/>
              </w:rPr>
              <w:t>Na projeção original, cerca de 77% da receita anual depende de editais e patrocínios. A mitigação é contratar programas, ampliar cursos pagos e construir receita recorrente. Meta recomendada: nenhuma fonte representar mais de 50% da receita até o terceiro ciclo.</w:t>
            </w:r>
          </w:p>
        </w:tc>
      </w:tr>
    </w:tbl>
    <w:p>
      <w:pPr>
        <w:spacing w:before="100" w:after="0" w:line="240" w:lineRule="auto"/>
      </w:pPr>
      <w:r>
        <w:rPr>
          <w:rFonts w:ascii="Inter" w:hAnsi="Inter" w:eastAsia="Inter"/>
          <w:i/>
          <w:color w:val="5C6661"/>
          <w:sz w:val="15"/>
        </w:rPr>
        <w:t>A projeção anual detalhada e o CapEx estão nos anexos. Ambos devem ser atualizados após cotações, definição tributária e resultados do piloto.</w:t>
      </w:r>
    </w:p>
    <w:p>
      <w:r>
        <w:br w:type="page"/>
      </w:r>
    </w:p>
    <w:p>
      <w:pPr>
        <w:keepNext/>
        <w:spacing w:before="0" w:after="100"/>
      </w:pPr>
      <w:r>
        <w:rPr>
          <w:rFonts w:ascii="Inter" w:hAnsi="Inter" w:eastAsia="Inter"/>
          <w:b/>
          <w:color w:val="E3A32B"/>
          <w:sz w:val="22"/>
        </w:rPr>
        <w:t xml:space="preserve">09  </w:t>
      </w:r>
      <w:r>
        <w:rPr>
          <w:rFonts w:ascii="Inter" w:hAnsi="Inter" w:eastAsia="Inter"/>
          <w:b/>
          <w:color w:val="1E4D3B"/>
          <w:sz w:val="40"/>
        </w:rPr>
        <w:t>Governança, segurança e gestão de riscos</w:t>
      </w:r>
    </w:p>
    <w:p>
      <w:pPr>
        <w:keepNext/>
        <w:spacing w:after="200"/>
      </w:pPr>
      <w:r>
        <w:rPr>
          <w:rFonts w:ascii="Inter" w:hAnsi="Inter" w:eastAsia="Inter"/>
          <w:b/>
          <w:color w:val="1C6B73"/>
          <w:sz w:val="18"/>
        </w:rPr>
        <w:t>O FINANCIADOR PRECISA CONFIAR NA ENTREGA, NÃO APENAS NA IDEIA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</w:tblGrid>
      <w:tr>
        <w:tc>
          <w:tcPr>
            <w:tcW w:type="dxa" w:w="10092"/>
            <w:shd w:fill="E3A32B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Inter" w:hAnsi="Inter" w:eastAsia="Inter"/>
                <w:sz w:val="2"/>
              </w:rPr>
            </w:r>
          </w:p>
        </w:tc>
      </w:tr>
    </w:tbl>
    <w:p>
      <w:pPr>
        <w:spacing w:after="40"/>
      </w:pPr>
    </w:p>
    <w:p>
      <w:pPr>
        <w:spacing w:before="0" w:after="120" w:line="269" w:lineRule="auto"/>
      </w:pPr>
      <w:r>
        <w:rPr>
          <w:rFonts w:ascii="Inter" w:hAnsi="Inter" w:eastAsia="Inter"/>
          <w:i w:val="0"/>
          <w:color w:val="1E2A25"/>
          <w:sz w:val="20"/>
        </w:rPr>
        <w:t>Estrutura mínima de governança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891"/>
            <w:shd w:fill="1E4D3B" w:val="clea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1E4D3B"/>
              <w:left w:val="single" w:sz="4" w:color="FFFFFF"/>
              <w:bottom w:val="single" w:sz="4" w:color="1E4D3B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Papel</w:t>
            </w:r>
          </w:p>
        </w:tc>
        <w:tc>
          <w:tcPr>
            <w:tcW w:type="dxa" w:w="7200"/>
            <w:shd w:fill="1E4D3B" w:val="clea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1E4D3B"/>
              <w:left w:val="single" w:sz="4" w:color="FFFFFF"/>
              <w:bottom w:val="single" w:sz="4" w:color="1E4D3B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Responsabilidade</w:t>
            </w:r>
          </w:p>
        </w:tc>
      </w:tr>
      <w:tr>
        <w:trPr>
          <w:cantSplit/>
        </w:trPr>
        <w:tc>
          <w:tcPr>
            <w:tcW w:type="dxa" w:w="2891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Coordenação executiva</w:t>
            </w:r>
          </w:p>
        </w:tc>
        <w:tc>
          <w:tcPr>
            <w:tcW w:type="dxa" w:w="7200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Parcerias, metas, cronograma, orçamento e comunicação com financiadores</w:t>
            </w:r>
          </w:p>
        </w:tc>
      </w:tr>
      <w:tr>
        <w:trPr>
          <w:cantSplit/>
        </w:trPr>
        <w:tc>
          <w:tcPr>
            <w:tcW w:type="dxa" w:w="2891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Coordenação pedagógica/técnica</w:t>
            </w:r>
          </w:p>
        </w:tc>
        <w:tc>
          <w:tcPr>
            <w:tcW w:type="dxa" w:w="7200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Conteúdo, qualidade das oficinas, materiais, instrutores e validações técnicas</w:t>
            </w:r>
          </w:p>
        </w:tc>
      </w:tr>
      <w:tr>
        <w:trPr>
          <w:cantSplit/>
        </w:trPr>
        <w:tc>
          <w:tcPr>
            <w:tcW w:type="dxa" w:w="2891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Operações e segurança</w:t>
            </w:r>
          </w:p>
        </w:tc>
        <w:tc>
          <w:tcPr>
            <w:tcW w:type="dxa" w:w="7200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Logística, manutenção, seguros, análise de risco, primeiros socorros e incidentes</w:t>
            </w:r>
          </w:p>
        </w:tc>
      </w:tr>
      <w:tr>
        <w:trPr>
          <w:cantSplit/>
        </w:trPr>
        <w:tc>
          <w:tcPr>
            <w:tcW w:type="dxa" w:w="2891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Financeiro e prestação de contas</w:t>
            </w:r>
          </w:p>
        </w:tc>
        <w:tc>
          <w:tcPr>
            <w:tcW w:type="dxa" w:w="7200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Contratações, cotações, documentos fiscais, conciliação e relatórios</w:t>
            </w:r>
          </w:p>
        </w:tc>
      </w:tr>
      <w:tr>
        <w:trPr>
          <w:cantSplit/>
        </w:trPr>
        <w:tc>
          <w:tcPr>
            <w:tcW w:type="dxa" w:w="2891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Monitoramento e comunicação</w:t>
            </w:r>
          </w:p>
        </w:tc>
        <w:tc>
          <w:tcPr>
            <w:tcW w:type="dxa" w:w="7200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Consentimento, dados, indicadores, audiovisual e devolutivas aos territórios</w:t>
            </w:r>
          </w:p>
        </w:tc>
      </w:tr>
      <w:tr>
        <w:trPr>
          <w:cantSplit/>
        </w:trPr>
        <w:tc>
          <w:tcPr>
            <w:tcW w:type="dxa" w:w="2891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Conselho consultivo</w:t>
            </w:r>
          </w:p>
        </w:tc>
        <w:tc>
          <w:tcPr>
            <w:tcW w:type="dxa" w:w="7200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Apoio periódico em educação, agroecologia, finanças, segurança e direitos comunitários</w:t>
            </w:r>
          </w:p>
        </w:tc>
      </w:tr>
    </w:tbl>
    <w:p>
      <w:pPr>
        <w:spacing w:after="0" w:before="0" w:line="100" w:lineRule="exact"/>
      </w:pPr>
      <w:r>
        <w:rPr>
          <w:rFonts w:ascii="Inter" w:hAnsi="Inter" w:eastAsia="Inter"/>
          <w:sz w:val="2"/>
        </w:rPr>
        <w:t xml:space="preserve"> </w:t>
      </w:r>
    </w:p>
    <w:p>
      <w:pPr>
        <w:spacing w:before="0" w:after="120" w:line="269" w:lineRule="auto"/>
      </w:pPr>
      <w:r>
        <w:rPr>
          <w:rFonts w:ascii="Inter" w:hAnsi="Inter" w:eastAsia="Inter"/>
          <w:i w:val="0"/>
          <w:color w:val="1E2A25"/>
          <w:sz w:val="20"/>
        </w:rPr>
        <w:t>Matriz resumida de riscos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834"/>
            <w:shd w:fill="1E4D3B" w:val="clea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1E4D3B"/>
              <w:left w:val="single" w:sz="4" w:color="FFFFFF"/>
              <w:bottom w:val="single" w:sz="4" w:color="1E4D3B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Risco</w:t>
            </w:r>
          </w:p>
        </w:tc>
        <w:tc>
          <w:tcPr>
            <w:tcW w:type="dxa" w:w="7256"/>
            <w:shd w:fill="1E4D3B" w:val="clea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1E4D3B"/>
              <w:left w:val="single" w:sz="4" w:color="FFFFFF"/>
              <w:bottom w:val="single" w:sz="4" w:color="1E4D3B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Prevenção / resposta</w:t>
            </w:r>
          </w:p>
        </w:tc>
      </w:tr>
      <w:tr>
        <w:trPr>
          <w:cantSplit/>
        </w:trPr>
        <w:tc>
          <w:tcPr>
            <w:tcW w:type="dxa" w:w="2834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Baixa adesão</w:t>
            </w:r>
          </w:p>
        </w:tc>
        <w:tc>
          <w:tcPr>
            <w:tcW w:type="dxa" w:w="7256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Mobilização com parceiro local, critérios de inscrição, lista de espera e confirmação prévia</w:t>
            </w:r>
          </w:p>
        </w:tc>
      </w:tr>
      <w:tr>
        <w:trPr>
          <w:cantSplit/>
        </w:trPr>
        <w:tc>
          <w:tcPr>
            <w:tcW w:type="dxa" w:w="2834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Falha de equipamento ou veículo</w:t>
            </w:r>
          </w:p>
        </w:tc>
        <w:tc>
          <w:tcPr>
            <w:tcW w:type="dxa" w:w="7256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Manutenção preventiva, checklist, reserva financeira, fornecedores e plano alternativo</w:t>
            </w:r>
          </w:p>
        </w:tc>
      </w:tr>
      <w:tr>
        <w:trPr>
          <w:cantSplit/>
        </w:trPr>
        <w:tc>
          <w:tcPr>
            <w:tcW w:type="dxa" w:w="2834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Clima ou navegação</w:t>
            </w:r>
          </w:p>
        </w:tc>
        <w:tc>
          <w:tcPr>
            <w:tcW w:type="dxa" w:w="7256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Calendário sazonal, datas de contingência e decisão de segurança acima do cronograma</w:t>
            </w:r>
          </w:p>
        </w:tc>
      </w:tr>
      <w:tr>
        <w:trPr>
          <w:cantSplit/>
        </w:trPr>
        <w:tc>
          <w:tcPr>
            <w:tcW w:type="dxa" w:w="2834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Intervenção sem continuidade</w:t>
            </w:r>
          </w:p>
        </w:tc>
        <w:tc>
          <w:tcPr>
            <w:tcW w:type="dxa" w:w="7256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Guardião local, plano de manutenção, materiais simples e acompanhamento em 30–60 dias</w:t>
            </w:r>
          </w:p>
        </w:tc>
      </w:tr>
      <w:tr>
        <w:trPr>
          <w:cantSplit/>
        </w:trPr>
        <w:tc>
          <w:tcPr>
            <w:tcW w:type="dxa" w:w="2834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Acidente ou questão sanitária</w:t>
            </w:r>
          </w:p>
        </w:tc>
        <w:tc>
          <w:tcPr>
            <w:tcW w:type="dxa" w:w="7256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Seguro, primeiros socorros, EPIs, responsável técnico e protocolos documentados</w:t>
            </w:r>
          </w:p>
        </w:tc>
      </w:tr>
      <w:tr>
        <w:trPr>
          <w:cantSplit/>
        </w:trPr>
        <w:tc>
          <w:tcPr>
            <w:tcW w:type="dxa" w:w="2834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Uso indevido de imagem ou dados</w:t>
            </w:r>
          </w:p>
        </w:tc>
        <w:tc>
          <w:tcPr>
            <w:tcW w:type="dxa" w:w="7256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Consentimento informado, LGPD, armazenamento restrito e direito de retirada</w:t>
            </w:r>
          </w:p>
        </w:tc>
      </w:tr>
      <w:tr>
        <w:trPr>
          <w:cantSplit/>
        </w:trPr>
        <w:tc>
          <w:tcPr>
            <w:tcW w:type="dxa" w:w="2834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Greenwashing ou alegação excessiva</w:t>
            </w:r>
          </w:p>
        </w:tc>
        <w:tc>
          <w:tcPr>
            <w:tcW w:type="dxa" w:w="7256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Metas verificáveis, imagens identificadas como conceituais e comunicação baseada em dados</w:t>
            </w:r>
          </w:p>
        </w:tc>
      </w:tr>
    </w:tbl>
    <w:p>
      <w:pPr>
        <w:spacing w:after="0" w:before="0" w:line="100" w:lineRule="exact"/>
      </w:pPr>
      <w:r>
        <w:rPr>
          <w:rFonts w:ascii="Inter" w:hAnsi="Inter" w:eastAsia="Inter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fill="E9F0F2" w:val="clear"/>
            <w:tcBorders>
              <w:top w:val="nil"/>
              <w:left w:val="single" w:sz="22" w:color="1C6B73"/>
              <w:bottom w:val="nil"/>
              <w:right w:val="nil"/>
            </w:tcBorders>
            <w:tcMar>
              <w:top w:w="150" w:type="dxa"/>
              <w:start w:w="21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Inter" w:hAnsi="Inter" w:eastAsia="Inter"/>
                <w:b/>
                <w:color w:val="1E4D3B"/>
                <w:sz w:val="21"/>
              </w:rPr>
              <w:t>Conformidade antes da escala</w:t>
            </w:r>
          </w:p>
          <w:p>
            <w:pPr>
              <w:spacing w:after="0" w:line="259" w:lineRule="auto"/>
            </w:pPr>
            <w:r>
              <w:rPr>
                <w:rFonts w:ascii="Inter" w:hAnsi="Inter" w:eastAsia="Inter"/>
                <w:color w:val="1E2A25"/>
                <w:sz w:val="18"/>
              </w:rPr>
              <w:t>Ônibus, barco, instalações elétricas, saneamento e atividades com crianças exigirão licenças, seguros e profissionais habilitados conforme o território e o modal. A aquisição só deve ocorrer após diligência técnica e jurídica.</w:t>
            </w:r>
          </w:p>
        </w:tc>
      </w:tr>
    </w:tbl>
    <w:p>
      <w:r>
        <w:br w:type="page"/>
      </w:r>
    </w:p>
    <w:p>
      <w:pPr>
        <w:keepNext/>
        <w:spacing w:before="0" w:after="100"/>
      </w:pPr>
      <w:r>
        <w:rPr>
          <w:rFonts w:ascii="Inter" w:hAnsi="Inter" w:eastAsia="Inter"/>
          <w:b/>
          <w:color w:val="E3A32B"/>
          <w:sz w:val="22"/>
        </w:rPr>
        <w:t xml:space="preserve">10  </w:t>
      </w:r>
      <w:r>
        <w:rPr>
          <w:rFonts w:ascii="Inter" w:hAnsi="Inter" w:eastAsia="Inter"/>
          <w:b/>
          <w:color w:val="1E4D3B"/>
          <w:sz w:val="40"/>
        </w:rPr>
        <w:t>Cotas de apoio e valor para o financiador</w:t>
      </w:r>
    </w:p>
    <w:p>
      <w:pPr>
        <w:keepNext/>
        <w:spacing w:after="200"/>
      </w:pPr>
      <w:r>
        <w:rPr>
          <w:rFonts w:ascii="Inter" w:hAnsi="Inter" w:eastAsia="Inter"/>
          <w:b/>
          <w:color w:val="1C6B73"/>
          <w:sz w:val="18"/>
        </w:rPr>
        <w:t>CONTRAPARTIDAS PROPORCIONAIS, TRANSPARENTES E COMPATÍVEIS COM O PROPÓSITO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</w:tblGrid>
      <w:tr>
        <w:tc>
          <w:tcPr>
            <w:tcW w:type="dxa" w:w="10092"/>
            <w:shd w:fill="E3A32B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Inter" w:hAnsi="Inter" w:eastAsia="Inter"/>
                <w:sz w:val="2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1474"/>
            <w:shd w:fill="1E4D3B" w:val="clea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1E4D3B"/>
              <w:left w:val="single" w:sz="4" w:color="FFFFFF"/>
              <w:bottom w:val="single" w:sz="4" w:color="1E4D3B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Cota</w:t>
            </w:r>
          </w:p>
        </w:tc>
        <w:tc>
          <w:tcPr>
            <w:tcW w:type="dxa" w:w="1587"/>
            <w:shd w:fill="1E4D3B" w:val="clea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1E4D3B"/>
              <w:left w:val="single" w:sz="4" w:color="FFFFFF"/>
              <w:bottom w:val="single" w:sz="4" w:color="1E4D3B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Aporte</w:t>
            </w:r>
          </w:p>
        </w:tc>
        <w:tc>
          <w:tcPr>
            <w:tcW w:type="dxa" w:w="2948"/>
            <w:shd w:fill="1E4D3B" w:val="clea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1E4D3B"/>
              <w:left w:val="single" w:sz="4" w:color="FFFFFF"/>
              <w:bottom w:val="single" w:sz="4" w:color="1E4D3B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Impacto associado</w:t>
            </w:r>
          </w:p>
        </w:tc>
        <w:tc>
          <w:tcPr>
            <w:tcW w:type="dxa" w:w="4081"/>
            <w:shd w:fill="1E4D3B" w:val="clea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1E4D3B"/>
              <w:left w:val="single" w:sz="4" w:color="FFFFFF"/>
              <w:bottom w:val="single" w:sz="4" w:color="1E4D3B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Contrapartidas sugeridas</w:t>
            </w:r>
          </w:p>
        </w:tc>
      </w:tr>
      <w:tr>
        <w:trPr>
          <w:cantSplit/>
        </w:trPr>
        <w:tc>
          <w:tcPr>
            <w:tcW w:type="dxa" w:w="1474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Semente</w:t>
            </w:r>
          </w:p>
        </w:tc>
        <w:tc>
          <w:tcPr>
            <w:tcW w:type="dxa" w:w="1587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R$ 25.000</w:t>
            </w:r>
          </w:p>
        </w:tc>
        <w:tc>
          <w:tcPr>
            <w:tcW w:type="dxa" w:w="2948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2 ativações e até 40 participantes</w:t>
            </w:r>
          </w:p>
        </w:tc>
        <w:tc>
          <w:tcPr>
            <w:tcW w:type="dxa" w:w="4081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Marca em materiais do ciclo; resumo de resultados; menção institucional</w:t>
            </w:r>
          </w:p>
        </w:tc>
      </w:tr>
      <w:tr>
        <w:trPr>
          <w:cantSplit/>
        </w:trPr>
        <w:tc>
          <w:tcPr>
            <w:tcW w:type="dxa" w:w="1474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Raiz</w:t>
            </w:r>
          </w:p>
        </w:tc>
        <w:tc>
          <w:tcPr>
            <w:tcW w:type="dxa" w:w="1587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R$ 50.000</w:t>
            </w:r>
          </w:p>
        </w:tc>
        <w:tc>
          <w:tcPr>
            <w:tcW w:type="dxa" w:w="2948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4 ativações e até 80 participantes</w:t>
            </w:r>
          </w:p>
        </w:tc>
        <w:tc>
          <w:tcPr>
            <w:tcW w:type="dxa" w:w="4081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Itens anteriores + visita de campo ou ação de voluntariado corporativo</w:t>
            </w:r>
          </w:p>
        </w:tc>
      </w:tr>
      <w:tr>
        <w:trPr>
          <w:cantSplit/>
        </w:trPr>
        <w:tc>
          <w:tcPr>
            <w:tcW w:type="dxa" w:w="1474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Floresta</w:t>
            </w:r>
          </w:p>
        </w:tc>
        <w:tc>
          <w:tcPr>
            <w:tcW w:type="dxa" w:w="1587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R$ 85.000</w:t>
            </w:r>
          </w:p>
        </w:tc>
        <w:tc>
          <w:tcPr>
            <w:tcW w:type="dxa" w:w="2948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Piloto completo: 8 ativações e 160 participantes</w:t>
            </w:r>
          </w:p>
        </w:tc>
        <w:tc>
          <w:tcPr>
            <w:tcW w:type="dxa" w:w="4081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Painel de impacto; relatório final; vídeo; destaque como financiador do piloto</w:t>
            </w:r>
          </w:p>
        </w:tc>
      </w:tr>
      <w:tr>
        <w:trPr>
          <w:cantSplit/>
        </w:trPr>
        <w:tc>
          <w:tcPr>
            <w:tcW w:type="dxa" w:w="1474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Infraestrutura</w:t>
            </w:r>
          </w:p>
        </w:tc>
        <w:tc>
          <w:tcPr>
            <w:tcW w:type="dxa" w:w="1587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Até R$ 250.000</w:t>
            </w:r>
          </w:p>
        </w:tc>
        <w:tc>
          <w:tcPr>
            <w:tcW w:type="dxa" w:w="2948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Frota multimodal e adaptações após validação</w:t>
            </w:r>
          </w:p>
        </w:tc>
        <w:tc>
          <w:tcPr>
            <w:tcW w:type="dxa" w:w="4081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Plano de ativos; placas de reconhecimento; auditoria e relatório de uso patrimonial</w:t>
            </w:r>
          </w:p>
        </w:tc>
      </w:tr>
    </w:tbl>
    <w:p>
      <w:pPr>
        <w:spacing w:after="0" w:before="0" w:line="120" w:lineRule="exact"/>
      </w:pPr>
      <w:r>
        <w:rPr>
          <w:rFonts w:ascii="Inter" w:hAnsi="Inter" w:eastAsia="Inter"/>
          <w:sz w:val="2"/>
        </w:rPr>
        <w:t xml:space="preserve"> </w:t>
      </w:r>
    </w:p>
    <w:p>
      <w:pPr>
        <w:spacing w:before="0" w:after="120" w:line="269" w:lineRule="auto"/>
      </w:pPr>
      <w:r>
        <w:rPr>
          <w:rFonts w:ascii="Inter" w:hAnsi="Inter" w:eastAsia="Inter"/>
          <w:b/>
          <w:color w:val="1E2A25"/>
          <w:sz w:val="20"/>
        </w:rPr>
        <w:t>O financiador recebe</w:t>
      </w:r>
      <w:r>
        <w:rPr>
          <w:rFonts w:ascii="Inter" w:hAnsi="Inter" w:eastAsia="Inter"/>
          <w:i w:val="0"/>
          <w:color w:val="1E2A25"/>
          <w:sz w:val="20"/>
        </w:rPr>
      </w:r>
    </w:p>
    <w:p>
      <w:pPr>
        <w:pStyle w:val="ListBullet"/>
        <w:spacing w:after="40" w:line="252" w:lineRule="auto"/>
        <w:ind w:left="312" w:hanging="125"/>
      </w:pPr>
      <w:r>
        <w:rPr>
          <w:rFonts w:ascii="Inter" w:hAnsi="Inter" w:eastAsia="Inter"/>
          <w:b/>
          <w:color w:val="1E2A25"/>
          <w:sz w:val="19"/>
        </w:rPr>
        <w:t xml:space="preserve">Clareza de uso do recurso: </w:t>
      </w:r>
      <w:r>
        <w:rPr>
          <w:rFonts w:ascii="Inter" w:hAnsi="Inter" w:eastAsia="Inter"/>
          <w:color w:val="1E2A25"/>
          <w:sz w:val="19"/>
        </w:rPr>
        <w:t>orçamento, cronograma, indicadores e critérios de mudança de escopo.</w:t>
      </w:r>
    </w:p>
    <w:p>
      <w:pPr>
        <w:pStyle w:val="ListBullet"/>
        <w:spacing w:after="40" w:line="252" w:lineRule="auto"/>
        <w:ind w:left="312" w:hanging="125"/>
      </w:pPr>
      <w:r>
        <w:rPr>
          <w:rFonts w:ascii="Inter" w:hAnsi="Inter" w:eastAsia="Inter"/>
          <w:b/>
          <w:color w:val="1E2A25"/>
          <w:sz w:val="19"/>
        </w:rPr>
        <w:t xml:space="preserve">Visibilidade responsável: </w:t>
      </w:r>
      <w:r>
        <w:rPr>
          <w:rFonts w:ascii="Inter" w:hAnsi="Inter" w:eastAsia="Inter"/>
          <w:color w:val="1E2A25"/>
          <w:sz w:val="19"/>
        </w:rPr>
        <w:t>aplicação de marca definida em comum acordo, sem substituir a voz dos territórios.</w:t>
      </w:r>
    </w:p>
    <w:p>
      <w:pPr>
        <w:pStyle w:val="ListBullet"/>
        <w:spacing w:after="40" w:line="252" w:lineRule="auto"/>
        <w:ind w:left="312" w:hanging="125"/>
      </w:pPr>
      <w:r>
        <w:rPr>
          <w:rFonts w:ascii="Inter" w:hAnsi="Inter" w:eastAsia="Inter"/>
          <w:b/>
          <w:color w:val="1E2A25"/>
          <w:sz w:val="19"/>
        </w:rPr>
        <w:t xml:space="preserve">Evidência de impacto: </w:t>
      </w:r>
      <w:r>
        <w:rPr>
          <w:rFonts w:ascii="Inter" w:hAnsi="Inter" w:eastAsia="Inter"/>
          <w:color w:val="1E2A25"/>
          <w:sz w:val="19"/>
        </w:rPr>
        <w:t>dados de entrega, aprendizagem, adoção, legado e economia local.</w:t>
      </w:r>
    </w:p>
    <w:p>
      <w:pPr>
        <w:pStyle w:val="ListBullet"/>
        <w:spacing w:after="40" w:line="252" w:lineRule="auto"/>
        <w:ind w:left="312" w:hanging="125"/>
      </w:pPr>
      <w:r>
        <w:rPr>
          <w:rFonts w:ascii="Inter" w:hAnsi="Inter" w:eastAsia="Inter"/>
          <w:b/>
          <w:color w:val="1E2A25"/>
          <w:sz w:val="19"/>
        </w:rPr>
        <w:t xml:space="preserve">Experiência de campo: </w:t>
      </w:r>
      <w:r>
        <w:rPr>
          <w:rFonts w:ascii="Inter" w:hAnsi="Inter" w:eastAsia="Inter"/>
          <w:color w:val="1E2A25"/>
          <w:sz w:val="19"/>
        </w:rPr>
        <w:t>visita ou encontro de aprendizagem com a equipe e parceiros, quando viável.</w:t>
      </w:r>
    </w:p>
    <w:p>
      <w:pPr>
        <w:pStyle w:val="ListBullet"/>
        <w:spacing w:after="40" w:line="252" w:lineRule="auto"/>
        <w:ind w:left="312" w:hanging="125"/>
      </w:pPr>
      <w:r>
        <w:rPr>
          <w:rFonts w:ascii="Inter" w:hAnsi="Inter" w:eastAsia="Inter"/>
          <w:b/>
          <w:color w:val="1E2A25"/>
          <w:sz w:val="19"/>
        </w:rPr>
        <w:t xml:space="preserve">Transparência: </w:t>
      </w:r>
      <w:r>
        <w:rPr>
          <w:rFonts w:ascii="Inter" w:hAnsi="Inter" w:eastAsia="Inter"/>
          <w:color w:val="1E2A25"/>
          <w:sz w:val="19"/>
        </w:rPr>
        <w:t>prestação financeira e registro de riscos, desvios, incidentes e correções.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fill="F4F0E6" w:val="clear"/>
            <w:tcBorders>
              <w:top w:val="nil"/>
              <w:left w:val="single" w:sz="22" w:color="E3A32B"/>
              <w:bottom w:val="nil"/>
              <w:right w:val="nil"/>
            </w:tcBorders>
            <w:tcMar>
              <w:top w:w="150" w:type="dxa"/>
              <w:start w:w="21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Inter" w:hAnsi="Inter" w:eastAsia="Inter"/>
                <w:b/>
                <w:color w:val="1E4D3B"/>
                <w:sz w:val="21"/>
              </w:rPr>
              <w:t>Natureza do aporte</w:t>
            </w:r>
          </w:p>
          <w:p>
            <w:pPr>
              <w:spacing w:after="0" w:line="259" w:lineRule="auto"/>
            </w:pPr>
            <w:r>
              <w:rPr>
                <w:rFonts w:ascii="Inter" w:hAnsi="Inter" w:eastAsia="Inter"/>
                <w:color w:val="1E2A25"/>
                <w:sz w:val="18"/>
              </w:rPr>
              <w:t>Esta proposta é adequada a patrocínio, doação, grant, edital ou capital filantrópico/ESG. Eventuais modelos de investimento reembolsável, participação societária ou retorno financeiro exigem instrumento próprio, avaliação jurídica e projeções adicionais.</w:t>
            </w:r>
          </w:p>
        </w:tc>
      </w:tr>
    </w:tbl>
    <w:p>
      <w:r>
        <w:br w:type="page"/>
      </w:r>
    </w:p>
    <w:p>
      <w:pPr>
        <w:keepNext/>
        <w:spacing w:before="0" w:after="100"/>
      </w:pPr>
      <w:r>
        <w:rPr>
          <w:rFonts w:ascii="Inter" w:hAnsi="Inter" w:eastAsia="Inter"/>
          <w:b/>
          <w:color w:val="E3A32B"/>
          <w:sz w:val="22"/>
        </w:rPr>
        <w:t xml:space="preserve">11  </w:t>
      </w:r>
      <w:r>
        <w:rPr>
          <w:rFonts w:ascii="Inter" w:hAnsi="Inter" w:eastAsia="Inter"/>
          <w:b/>
          <w:color w:val="1E4D3B"/>
          <w:sz w:val="40"/>
        </w:rPr>
        <w:t>Visão de futuro e convite à parceria</w:t>
      </w:r>
    </w:p>
    <w:p>
      <w:pPr>
        <w:keepNext/>
        <w:spacing w:after="200"/>
      </w:pPr>
      <w:r>
        <w:rPr>
          <w:rFonts w:ascii="Inter" w:hAnsi="Inter" w:eastAsia="Inter"/>
          <w:b/>
          <w:color w:val="1C6B73"/>
          <w:sz w:val="18"/>
        </w:rPr>
        <w:t>ACENDER IDEIAS, SEMEAR AUTONOMIA E DEIXAR CAPACIDADE INSTALADA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</w:tblGrid>
      <w:tr>
        <w:tc>
          <w:tcPr>
            <w:tcW w:type="dxa" w:w="10092"/>
            <w:shd w:fill="E3A32B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Inter" w:hAnsi="Inter" w:eastAsia="Inter"/>
                <w:sz w:val="2"/>
              </w:rPr>
            </w:r>
          </w:p>
        </w:tc>
      </w:tr>
    </w:tbl>
    <w:p>
      <w:pPr>
        <w:spacing w:after="4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372000" cy="34756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3475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right"/>
      </w:pPr>
      <w:r>
        <w:rPr>
          <w:rFonts w:ascii="Inter" w:hAnsi="Inter" w:eastAsia="Inter"/>
          <w:i/>
          <w:color w:val="5C6661"/>
          <w:sz w:val="14"/>
        </w:rPr>
        <w:t>Visual conceitual da unidade fluvial; implantação sujeita a projeto técnico, parceiros e licenças.</w:t>
      </w:r>
    </w:p>
    <w:p>
      <w:pPr>
        <w:spacing w:before="0" w:after="120" w:line="269" w:lineRule="auto"/>
      </w:pPr>
      <w:r>
        <w:rPr>
          <w:rFonts w:ascii="Inter" w:hAnsi="Inter" w:eastAsia="Inter"/>
          <w:i w:val="0"/>
          <w:color w:val="1E2A25"/>
          <w:sz w:val="20"/>
        </w:rPr>
        <w:t>O Vaga Lúmen nasce com uma visão ambiciosa: conectar cidades, áreas rurais e comunidades ribeirinhas por meio de uma escola viva e itinerante. A proposta para financiadores transforma essa visão em uma sequência responsável de decisões: primeiro provar, depois adquirir, então escalar.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fill="E7F0EA" w:val="clear"/>
            <w:tcBorders>
              <w:top w:val="nil"/>
              <w:left w:val="single" w:sz="22" w:color="1C6B73"/>
              <w:bottom w:val="nil"/>
              <w:right w:val="nil"/>
            </w:tcBorders>
            <w:tcMar>
              <w:top w:w="150" w:type="dxa"/>
              <w:start w:w="21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Inter" w:hAnsi="Inter" w:eastAsia="Inter"/>
                <w:b/>
                <w:color w:val="1E4D3B"/>
                <w:sz w:val="21"/>
              </w:rPr>
              <w:t>Convite</w:t>
            </w:r>
          </w:p>
          <w:p>
            <w:pPr>
              <w:spacing w:after="0" w:line="259" w:lineRule="auto"/>
            </w:pPr>
            <w:r>
              <w:rPr>
                <w:rFonts w:ascii="Inter" w:hAnsi="Inter" w:eastAsia="Inter"/>
                <w:color w:val="1E2A25"/>
                <w:sz w:val="18"/>
              </w:rPr>
              <w:t>Buscamos um financiador-âncora para viabilizar o piloto de R$ 85.000 e acompanhar a validação do modelo. Ao final de seis meses, a decisão sobre ônibus e barco será baseada em evidências de demanda, qualidade, impacto, segurança e sustentabilidade financeira.</w:t>
            </w:r>
          </w:p>
        </w:tc>
      </w:tr>
    </w:tbl>
    <w:p>
      <w:pPr>
        <w:spacing w:after="0" w:before="0" w:line="100" w:lineRule="exact"/>
      </w:pPr>
      <w:r>
        <w:rPr>
          <w:rFonts w:ascii="Inter" w:hAnsi="Inter" w:eastAsia="Inter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2"/>
            <w:shd w:fill="F7F9F6" w:val="clear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</w:tcBorders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Inter" w:hAnsi="Inter" w:eastAsia="Inter"/>
                <w:b/>
                <w:color w:val="1E4D3B"/>
                <w:sz w:val="34"/>
              </w:rPr>
              <w:t>APORTE</w:t>
            </w:r>
          </w:p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5C6661"/>
                <w:sz w:val="16"/>
              </w:rPr>
              <w:t>R$ 85 mil</w:t>
            </w:r>
          </w:p>
        </w:tc>
        <w:tc>
          <w:tcPr>
            <w:tcW w:type="dxa" w:w="2522"/>
            <w:shd w:fill="FFFFFF" w:val="clear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</w:tcBorders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Inter" w:hAnsi="Inter" w:eastAsia="Inter"/>
                <w:b/>
                <w:color w:val="1E4D3B"/>
                <w:sz w:val="34"/>
              </w:rPr>
              <w:t>PRAZO</w:t>
            </w:r>
          </w:p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5C6661"/>
                <w:sz w:val="16"/>
              </w:rPr>
              <w:t>6 meses</w:t>
            </w:r>
          </w:p>
        </w:tc>
        <w:tc>
          <w:tcPr>
            <w:tcW w:type="dxa" w:w="2522"/>
            <w:shd w:fill="F7F9F6" w:val="clear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</w:tcBorders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Inter" w:hAnsi="Inter" w:eastAsia="Inter"/>
                <w:b/>
                <w:color w:val="1E4D3B"/>
                <w:sz w:val="34"/>
              </w:rPr>
              <w:t>ENTREGA</w:t>
            </w:r>
          </w:p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5C6661"/>
                <w:sz w:val="16"/>
              </w:rPr>
              <w:t>8 ativações</w:t>
            </w:r>
          </w:p>
        </w:tc>
        <w:tc>
          <w:tcPr>
            <w:tcW w:type="dxa" w:w="2522"/>
            <w:shd w:fill="FFFFFF" w:val="clear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</w:tcBorders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Inter" w:hAnsi="Inter" w:eastAsia="Inter"/>
                <w:b/>
                <w:color w:val="1E4D3B"/>
                <w:sz w:val="34"/>
              </w:rPr>
              <w:t>IMPACTO</w:t>
            </w:r>
          </w:p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5C6661"/>
                <w:sz w:val="16"/>
              </w:rPr>
              <w:t>160 pessoas</w:t>
            </w:r>
          </w:p>
        </w:tc>
      </w:tr>
    </w:tbl>
    <w:p>
      <w:pPr>
        <w:spacing w:after="0" w:before="0" w:line="100" w:lineRule="exact"/>
      </w:pPr>
      <w:r>
        <w:rPr>
          <w:rFonts w:ascii="Inter" w:hAnsi="Inter" w:eastAsia="Inter"/>
          <w:sz w:val="2"/>
        </w:rPr>
        <w:t xml:space="preserve"> </w:t>
      </w:r>
    </w:p>
    <w:p>
      <w:pPr>
        <w:spacing w:after="100"/>
        <w:jc w:val="center"/>
      </w:pPr>
      <w:r>
        <w:rPr>
          <w:rFonts w:ascii="Inter" w:hAnsi="Inter" w:eastAsia="Inter"/>
          <w:b/>
          <w:color w:val="1E4D3B"/>
          <w:sz w:val="26"/>
        </w:rPr>
        <w:t>[NOME DO PROPONENTE]</w:t>
      </w:r>
    </w:p>
    <w:p>
      <w:pPr>
        <w:spacing w:after="40"/>
        <w:jc w:val="center"/>
      </w:pPr>
      <w:r>
        <w:rPr>
          <w:rFonts w:ascii="Inter" w:hAnsi="Inter" w:eastAsia="Inter"/>
          <w:color w:val="5C6661"/>
          <w:sz w:val="18"/>
        </w:rPr>
        <w:t>[CNPJ / ORGANIZAÇÃO]  •  [CIDADE/UF]</w:t>
      </w:r>
    </w:p>
    <w:p>
      <w:pPr>
        <w:spacing w:after="40"/>
        <w:jc w:val="center"/>
      </w:pPr>
      <w:r>
        <w:rPr>
          <w:rFonts w:ascii="Inter" w:hAnsi="Inter" w:eastAsia="Inter"/>
          <w:color w:val="A33A2B"/>
          <w:sz w:val="18"/>
        </w:rPr>
        <w:t>[E-MAIL]  •  [TELEFONE]  •  @projetovagalumen</w:t>
      </w:r>
    </w:p>
    <w:p>
      <w:pPr>
        <w:jc w:val="center"/>
      </w:pPr>
      <w:r>
        <w:rPr>
          <w:rFonts w:ascii="Inter" w:hAnsi="Inter" w:eastAsia="Inter"/>
          <w:b/>
          <w:i/>
          <w:color w:val="1C6B73"/>
          <w:sz w:val="21"/>
        </w:rPr>
        <w:t>“Educação itinerante para regenerar territórios.”</w:t>
      </w:r>
    </w:p>
    <w:p>
      <w:r>
        <w:br w:type="page"/>
      </w:r>
    </w:p>
    <w:p>
      <w:pPr>
        <w:keepNext/>
        <w:spacing w:before="0" w:after="100"/>
      </w:pPr>
      <w:r>
        <w:rPr>
          <w:rFonts w:ascii="Inter" w:hAnsi="Inter" w:eastAsia="Inter"/>
          <w:b/>
          <w:color w:val="E3A32B"/>
          <w:sz w:val="22"/>
        </w:rPr>
        <w:t xml:space="preserve">ANEXO A  </w:t>
      </w:r>
      <w:r>
        <w:rPr>
          <w:rFonts w:ascii="Inter" w:hAnsi="Inter" w:eastAsia="Inter"/>
          <w:b/>
          <w:color w:val="1E4D3B"/>
          <w:sz w:val="40"/>
        </w:rPr>
        <w:t>Investimento em ativos para a escala</w:t>
      </w:r>
    </w:p>
    <w:p>
      <w:pPr>
        <w:keepNext/>
        <w:spacing w:after="200"/>
      </w:pPr>
      <w:r>
        <w:rPr>
          <w:rFonts w:ascii="Inter" w:hAnsi="Inter" w:eastAsia="Inter"/>
          <w:b/>
          <w:color w:val="1C6B73"/>
          <w:sz w:val="18"/>
        </w:rPr>
        <w:t>CAPEX INDICATIVO — APÓS VALIDAÇÃO DO PILOTO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</w:tblGrid>
      <w:tr>
        <w:tc>
          <w:tcPr>
            <w:tcW w:type="dxa" w:w="10092"/>
            <w:shd w:fill="E3A32B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Inter" w:hAnsi="Inter" w:eastAsia="Inter"/>
                <w:sz w:val="2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381"/>
            <w:shd w:fill="1E4D3B" w:val="clea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1E4D3B"/>
              <w:left w:val="single" w:sz="4" w:color="FFFFFF"/>
              <w:bottom w:val="single" w:sz="4" w:color="1E4D3B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Ativo</w:t>
            </w:r>
          </w:p>
        </w:tc>
        <w:tc>
          <w:tcPr>
            <w:tcW w:type="dxa" w:w="4535"/>
            <w:shd w:fill="1E4D3B" w:val="clea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1E4D3B"/>
              <w:left w:val="single" w:sz="4" w:color="FFFFFF"/>
              <w:bottom w:val="single" w:sz="4" w:color="1E4D3B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Escopo</w:t>
            </w:r>
          </w:p>
        </w:tc>
        <w:tc>
          <w:tcPr>
            <w:tcW w:type="dxa" w:w="1814"/>
            <w:shd w:fill="1E4D3B" w:val="clea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1E4D3B"/>
              <w:left w:val="single" w:sz="4" w:color="FFFFFF"/>
              <w:bottom w:val="single" w:sz="4" w:color="1E4D3B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Investimento</w:t>
            </w:r>
          </w:p>
        </w:tc>
        <w:tc>
          <w:tcPr>
            <w:tcW w:type="dxa" w:w="1360"/>
            <w:shd w:fill="1E4D3B" w:val="clea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1E4D3B"/>
              <w:left w:val="single" w:sz="4" w:color="FFFFFF"/>
              <w:bottom w:val="single" w:sz="4" w:color="1E4D3B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Vida útil contábil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Ônibus usado</w:t>
            </w:r>
          </w:p>
        </w:tc>
        <w:tc>
          <w:tcPr>
            <w:tcW w:type="dxa" w:w="4535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Aquisição, revisão, documentação e preparação de base</w:t>
            </w:r>
          </w:p>
        </w:tc>
        <w:tc>
          <w:tcPr>
            <w:tcW w:type="dxa" w:w="1814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R$ 65.000</w:t>
            </w:r>
          </w:p>
        </w:tc>
        <w:tc>
          <w:tcPr>
            <w:tcW w:type="dxa" w:w="1360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10 anos</w:t>
            </w:r>
          </w:p>
        </w:tc>
      </w:tr>
      <w:tr>
        <w:trPr>
          <w:cantSplit/>
        </w:trPr>
        <w:tc>
          <w:tcPr>
            <w:tcW w:type="dxa" w:w="2381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Adaptação do ônibus</w:t>
            </w:r>
          </w:p>
        </w:tc>
        <w:tc>
          <w:tcPr>
            <w:tcW w:type="dxa" w:w="4535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Marcenaria, toldo, mobiliário e ferramentas</w:t>
            </w:r>
          </w:p>
        </w:tc>
        <w:tc>
          <w:tcPr>
            <w:tcW w:type="dxa" w:w="1814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R$ 25.000</w:t>
            </w:r>
          </w:p>
        </w:tc>
        <w:tc>
          <w:tcPr>
            <w:tcW w:type="dxa" w:w="1360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5 anos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Barco de 10–12 m</w:t>
            </w:r>
          </w:p>
        </w:tc>
        <w:tc>
          <w:tcPr>
            <w:tcW w:type="dxa" w:w="4535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Aquisição, revisão e regularização</w:t>
            </w:r>
          </w:p>
        </w:tc>
        <w:tc>
          <w:tcPr>
            <w:tcW w:type="dxa" w:w="1814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R$ 75.000</w:t>
            </w:r>
          </w:p>
        </w:tc>
        <w:tc>
          <w:tcPr>
            <w:tcW w:type="dxa" w:w="1360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10 anos</w:t>
            </w:r>
          </w:p>
        </w:tc>
      </w:tr>
      <w:tr>
        <w:trPr>
          <w:cantSplit/>
        </w:trPr>
        <w:tc>
          <w:tcPr>
            <w:tcW w:type="dxa" w:w="2381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Adaptação do barco</w:t>
            </w:r>
          </w:p>
        </w:tc>
        <w:tc>
          <w:tcPr>
            <w:tcW w:type="dxa" w:w="4535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Saneamento, água, horta de convés e segurança</w:t>
            </w:r>
          </w:p>
        </w:tc>
        <w:tc>
          <w:tcPr>
            <w:tcW w:type="dxa" w:w="1814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R$ 20.000</w:t>
            </w:r>
          </w:p>
        </w:tc>
        <w:tc>
          <w:tcPr>
            <w:tcW w:type="dxa" w:w="1360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5 anos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Reboque fechado</w:t>
            </w:r>
          </w:p>
        </w:tc>
        <w:tc>
          <w:tcPr>
            <w:tcW w:type="dxa" w:w="4535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Apoio logístico e transporte de carga</w:t>
            </w:r>
          </w:p>
        </w:tc>
        <w:tc>
          <w:tcPr>
            <w:tcW w:type="dxa" w:w="1814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R$ 12.000</w:t>
            </w:r>
          </w:p>
        </w:tc>
        <w:tc>
          <w:tcPr>
            <w:tcW w:type="dxa" w:w="1360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10 anos</w:t>
            </w:r>
          </w:p>
        </w:tc>
      </w:tr>
      <w:tr>
        <w:trPr>
          <w:cantSplit/>
        </w:trPr>
        <w:tc>
          <w:tcPr>
            <w:tcW w:type="dxa" w:w="2381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Kit Ciclo-Permacultura</w:t>
            </w:r>
          </w:p>
        </w:tc>
        <w:tc>
          <w:tcPr>
            <w:tcW w:type="dxa" w:w="4535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3 cargo bikes, caixas e equipamentos</w:t>
            </w:r>
          </w:p>
        </w:tc>
        <w:tc>
          <w:tcPr>
            <w:tcW w:type="dxa" w:w="1814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R$ 18.000</w:t>
            </w:r>
          </w:p>
        </w:tc>
        <w:tc>
          <w:tcPr>
            <w:tcW w:type="dxa" w:w="1360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5 anos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Sistemas solares</w:t>
            </w:r>
          </w:p>
        </w:tc>
        <w:tc>
          <w:tcPr>
            <w:tcW w:type="dxa" w:w="4535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Painéis, baterias, controladores e inversores para os modais</w:t>
            </w:r>
          </w:p>
        </w:tc>
        <w:tc>
          <w:tcPr>
            <w:tcW w:type="dxa" w:w="1814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R$ 35.000</w:t>
            </w:r>
          </w:p>
        </w:tc>
        <w:tc>
          <w:tcPr>
            <w:tcW w:type="dxa" w:w="1360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10 anos</w:t>
            </w:r>
          </w:p>
        </w:tc>
      </w:tr>
      <w:tr>
        <w:trPr>
          <w:cantSplit/>
        </w:trPr>
        <w:tc>
          <w:tcPr>
            <w:tcW w:type="dxa" w:w="2381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TOTAL</w:t>
            </w:r>
          </w:p>
        </w:tc>
        <w:tc>
          <w:tcPr>
            <w:tcW w:type="dxa" w:w="4535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Frota e adaptações</w:t>
            </w:r>
          </w:p>
        </w:tc>
        <w:tc>
          <w:tcPr>
            <w:tcW w:type="dxa" w:w="1814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R$ 250.000</w:t>
            </w:r>
          </w:p>
        </w:tc>
        <w:tc>
          <w:tcPr>
            <w:tcW w:type="dxa" w:w="1360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—</w:t>
            </w:r>
          </w:p>
        </w:tc>
      </w:tr>
    </w:tbl>
    <w:p>
      <w:pPr>
        <w:spacing w:after="0" w:before="0" w:line="120" w:lineRule="exact"/>
      </w:pPr>
      <w:r>
        <w:rPr>
          <w:rFonts w:ascii="Inter" w:hAnsi="Inter" w:eastAsia="Inter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fill="F4F0E6" w:val="clear"/>
            <w:tcBorders>
              <w:top w:val="nil"/>
              <w:left w:val="single" w:sz="22" w:color="E3A32B"/>
              <w:bottom w:val="nil"/>
              <w:right w:val="nil"/>
            </w:tcBorders>
            <w:tcMar>
              <w:top w:w="150" w:type="dxa"/>
              <w:start w:w="21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Inter" w:hAnsi="Inter" w:eastAsia="Inter"/>
                <w:b/>
                <w:color w:val="1E4D3B"/>
                <w:sz w:val="21"/>
              </w:rPr>
              <w:t>Depreciação revisada</w:t>
            </w:r>
          </w:p>
          <w:p>
            <w:pPr>
              <w:spacing w:after="0" w:line="259" w:lineRule="auto"/>
            </w:pPr>
            <w:r>
              <w:rPr>
                <w:rFonts w:ascii="Inter" w:hAnsi="Inter" w:eastAsia="Inter"/>
                <w:color w:val="1E2A25"/>
                <w:sz w:val="18"/>
              </w:rPr>
              <w:t>Com as vidas úteis acima e método linear, a depreciação anual estimada é de aproximadamente R$ 31.300 — e não R$ 29.200. O valor deve ser confirmado pelo contador, considerando valor residual, data de entrada em operação e política contábil.</w:t>
            </w:r>
          </w:p>
        </w:tc>
      </w:tr>
    </w:tbl>
    <w:p>
      <w:pPr>
        <w:spacing w:after="0" w:before="0" w:line="100" w:lineRule="exact"/>
      </w:pPr>
      <w:r>
        <w:rPr>
          <w:rFonts w:ascii="Inter" w:hAnsi="Inter" w:eastAsia="Inter"/>
          <w:sz w:val="2"/>
        </w:rPr>
        <w:t xml:space="preserve"> </w:t>
      </w:r>
    </w:p>
    <w:p>
      <w:pPr>
        <w:spacing w:before="0" w:after="120" w:line="269" w:lineRule="auto"/>
      </w:pPr>
      <w:r>
        <w:rPr>
          <w:rFonts w:ascii="Inter" w:hAnsi="Inter" w:eastAsia="Inter"/>
          <w:i w:val="0"/>
          <w:color w:val="1E2A25"/>
          <w:sz w:val="20"/>
        </w:rPr>
        <w:t>Diligências antes da compra</w:t>
      </w:r>
    </w:p>
    <w:p>
      <w:pPr>
        <w:pStyle w:val="ListBullet"/>
        <w:spacing w:after="40" w:line="252" w:lineRule="auto"/>
        <w:ind w:left="312" w:hanging="125"/>
      </w:pPr>
      <w:r>
        <w:rPr>
          <w:rFonts w:ascii="Inter" w:hAnsi="Inter" w:eastAsia="Inter"/>
          <w:color w:val="1E2A25"/>
          <w:sz w:val="19"/>
        </w:rPr>
        <w:t>laudos mecânico, estrutural, elétrico e náutico;</w:t>
      </w:r>
    </w:p>
    <w:p>
      <w:pPr>
        <w:pStyle w:val="ListBullet"/>
        <w:spacing w:after="40" w:line="252" w:lineRule="auto"/>
        <w:ind w:left="312" w:hanging="125"/>
      </w:pPr>
      <w:r>
        <w:rPr>
          <w:rFonts w:ascii="Inter" w:hAnsi="Inter" w:eastAsia="Inter"/>
          <w:color w:val="1E2A25"/>
          <w:sz w:val="19"/>
        </w:rPr>
        <w:t>histórico documental, multas, gravames, seguro e custo de regularização;</w:t>
      </w:r>
    </w:p>
    <w:p>
      <w:pPr>
        <w:pStyle w:val="ListBullet"/>
        <w:spacing w:after="40" w:line="252" w:lineRule="auto"/>
        <w:ind w:left="312" w:hanging="125"/>
      </w:pPr>
      <w:r>
        <w:rPr>
          <w:rFonts w:ascii="Inter" w:hAnsi="Inter" w:eastAsia="Inter"/>
          <w:color w:val="1E2A25"/>
          <w:sz w:val="19"/>
        </w:rPr>
        <w:t>projeto de peso, estabilidade, ventilação, acessibilidade e segurança;</w:t>
      </w:r>
    </w:p>
    <w:p>
      <w:pPr>
        <w:pStyle w:val="ListBullet"/>
        <w:spacing w:after="40" w:line="252" w:lineRule="auto"/>
        <w:ind w:left="312" w:hanging="125"/>
      </w:pPr>
      <w:r>
        <w:rPr>
          <w:rFonts w:ascii="Inter" w:hAnsi="Inter" w:eastAsia="Inter"/>
          <w:color w:val="1E2A25"/>
          <w:sz w:val="19"/>
        </w:rPr>
        <w:t>três cotações por item relevante e análise de custo total de propriedade;</w:t>
      </w:r>
    </w:p>
    <w:p>
      <w:pPr>
        <w:pStyle w:val="ListBullet"/>
        <w:spacing w:after="40" w:line="252" w:lineRule="auto"/>
        <w:ind w:left="312" w:hanging="125"/>
      </w:pPr>
      <w:r>
        <w:rPr>
          <w:rFonts w:ascii="Inter" w:hAnsi="Inter" w:eastAsia="Inter"/>
          <w:color w:val="1E2A25"/>
          <w:sz w:val="19"/>
        </w:rPr>
        <w:t>plano de manutenção, garagem/atracação e responsável pelos ativos.</w:t>
      </w:r>
    </w:p>
    <w:p>
      <w:r>
        <w:br w:type="page"/>
      </w:r>
    </w:p>
    <w:p>
      <w:pPr>
        <w:keepNext/>
        <w:spacing w:before="0" w:after="100"/>
      </w:pPr>
      <w:r>
        <w:rPr>
          <w:rFonts w:ascii="Inter" w:hAnsi="Inter" w:eastAsia="Inter"/>
          <w:b/>
          <w:color w:val="E3A32B"/>
          <w:sz w:val="22"/>
        </w:rPr>
        <w:t xml:space="preserve">ANEXO B  </w:t>
      </w:r>
      <w:r>
        <w:rPr>
          <w:rFonts w:ascii="Inter" w:hAnsi="Inter" w:eastAsia="Inter"/>
          <w:b/>
          <w:color w:val="1E4D3B"/>
          <w:sz w:val="40"/>
        </w:rPr>
        <w:t>Cenário financeiro anual pós-piloto</w:t>
      </w:r>
    </w:p>
    <w:p>
      <w:pPr>
        <w:keepNext/>
        <w:spacing w:after="200"/>
      </w:pPr>
      <w:r>
        <w:rPr>
          <w:rFonts w:ascii="Inter" w:hAnsi="Inter" w:eastAsia="Inter"/>
          <w:b/>
          <w:color w:val="1C6B73"/>
          <w:sz w:val="18"/>
        </w:rPr>
        <w:t>PROJEÇÃO INDICATIVA — NÃO AUDITADA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</w:tblGrid>
      <w:tr>
        <w:tc>
          <w:tcPr>
            <w:tcW w:type="dxa" w:w="10092"/>
            <w:shd w:fill="E3A32B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Inter" w:hAnsi="Inter" w:eastAsia="Inter"/>
                <w:sz w:val="2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2948"/>
            <w:shd w:fill="1E4D3B" w:val="clea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1E4D3B"/>
              <w:left w:val="single" w:sz="4" w:color="FFFFFF"/>
              <w:bottom w:val="single" w:sz="4" w:color="1E4D3B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Linha</w:t>
            </w:r>
          </w:p>
        </w:tc>
        <w:tc>
          <w:tcPr>
            <w:tcW w:type="dxa" w:w="4762"/>
            <w:shd w:fill="1E4D3B" w:val="clea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1E4D3B"/>
              <w:left w:val="single" w:sz="4" w:color="FFFFFF"/>
              <w:bottom w:val="single" w:sz="4" w:color="1E4D3B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Premissa</w:t>
            </w:r>
          </w:p>
        </w:tc>
        <w:tc>
          <w:tcPr>
            <w:tcW w:type="dxa" w:w="2381"/>
            <w:shd w:fill="1E4D3B" w:val="clea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1E4D3B"/>
              <w:left w:val="single" w:sz="4" w:color="FFFFFF"/>
              <w:bottom w:val="single" w:sz="4" w:color="1E4D3B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Valor anual</w:t>
            </w:r>
          </w:p>
        </w:tc>
      </w:tr>
      <w:tr>
        <w:trPr>
          <w:cantSplit/>
        </w:trPr>
        <w:tc>
          <w:tcPr>
            <w:tcW w:type="dxa" w:w="2948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Receita de editais e patrocínios</w:t>
            </w:r>
          </w:p>
        </w:tc>
        <w:tc>
          <w:tcPr>
            <w:tcW w:type="dxa" w:w="4762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Apoio institucional</w:t>
            </w:r>
          </w:p>
        </w:tc>
        <w:tc>
          <w:tcPr>
            <w:tcW w:type="dxa" w:w="2381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R$ 220.000</w:t>
            </w:r>
          </w:p>
        </w:tc>
      </w:tr>
      <w:tr>
        <w:trPr>
          <w:cantSplit/>
        </w:trPr>
        <w:tc>
          <w:tcPr>
            <w:tcW w:type="dxa" w:w="2948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Bilheteria social</w:t>
            </w:r>
          </w:p>
        </w:tc>
        <w:tc>
          <w:tcPr>
            <w:tcW w:type="dxa" w:w="4762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20 participantes × 10 edições × R$ 185</w:t>
            </w:r>
          </w:p>
        </w:tc>
        <w:tc>
          <w:tcPr>
            <w:tcW w:type="dxa" w:w="2381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R$ 37.000</w:t>
            </w:r>
          </w:p>
        </w:tc>
      </w:tr>
      <w:tr>
        <w:trPr>
          <w:cantSplit/>
        </w:trPr>
        <w:tc>
          <w:tcPr>
            <w:tcW w:type="dxa" w:w="2948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Produtos e serviços</w:t>
            </w:r>
          </w:p>
        </w:tc>
        <w:tc>
          <w:tcPr>
            <w:tcW w:type="dxa" w:w="4762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Guias, consultorias, feiras e itens</w:t>
            </w:r>
          </w:p>
        </w:tc>
        <w:tc>
          <w:tcPr>
            <w:tcW w:type="dxa" w:w="2381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R$ 28.000</w:t>
            </w:r>
          </w:p>
        </w:tc>
      </w:tr>
      <w:tr>
        <w:trPr>
          <w:cantSplit/>
        </w:trPr>
        <w:tc>
          <w:tcPr>
            <w:tcW w:type="dxa" w:w="2948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RECEITA BRUTA</w:t>
            </w:r>
          </w:p>
        </w:tc>
        <w:tc>
          <w:tcPr>
            <w:tcW w:type="dxa" w:w="4762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</w:r>
          </w:p>
        </w:tc>
        <w:tc>
          <w:tcPr>
            <w:tcW w:type="dxa" w:w="2381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R$ 285.000</w:t>
            </w:r>
          </w:p>
        </w:tc>
      </w:tr>
      <w:tr>
        <w:trPr>
          <w:cantSplit/>
        </w:trPr>
        <w:tc>
          <w:tcPr>
            <w:tcW w:type="dxa" w:w="2948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Impostos e taxas</w:t>
            </w:r>
          </w:p>
        </w:tc>
        <w:tc>
          <w:tcPr>
            <w:tcW w:type="dxa" w:w="4762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Estimativa simplificada de 6%</w:t>
            </w:r>
          </w:p>
        </w:tc>
        <w:tc>
          <w:tcPr>
            <w:tcW w:type="dxa" w:w="2381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(R$ 17.100)</w:t>
            </w:r>
          </w:p>
        </w:tc>
      </w:tr>
      <w:tr>
        <w:trPr>
          <w:cantSplit/>
        </w:trPr>
        <w:tc>
          <w:tcPr>
            <w:tcW w:type="dxa" w:w="2948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RECEITA LÍQUIDA</w:t>
            </w:r>
          </w:p>
        </w:tc>
        <w:tc>
          <w:tcPr>
            <w:tcW w:type="dxa" w:w="4762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</w:r>
          </w:p>
        </w:tc>
        <w:tc>
          <w:tcPr>
            <w:tcW w:type="dxa" w:w="2381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R$ 267.900</w:t>
            </w:r>
          </w:p>
        </w:tc>
      </w:tr>
      <w:tr>
        <w:trPr>
          <w:cantSplit/>
        </w:trPr>
        <w:tc>
          <w:tcPr>
            <w:tcW w:type="dxa" w:w="2948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Custos diretos</w:t>
            </w:r>
          </w:p>
        </w:tc>
        <w:tc>
          <w:tcPr>
            <w:tcW w:type="dxa" w:w="4762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Logística, alimentação, materiais e prestadores</w:t>
            </w:r>
          </w:p>
        </w:tc>
        <w:tc>
          <w:tcPr>
            <w:tcW w:type="dxa" w:w="2381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(R$ 114.000)</w:t>
            </w:r>
          </w:p>
        </w:tc>
      </w:tr>
      <w:tr>
        <w:trPr>
          <w:cantSplit/>
        </w:trPr>
        <w:tc>
          <w:tcPr>
            <w:tcW w:type="dxa" w:w="2948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LUCRO BRUTO</w:t>
            </w:r>
          </w:p>
        </w:tc>
        <w:tc>
          <w:tcPr>
            <w:tcW w:type="dxa" w:w="4762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</w:r>
          </w:p>
        </w:tc>
        <w:tc>
          <w:tcPr>
            <w:tcW w:type="dxa" w:w="2381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R$ 153.900</w:t>
            </w:r>
          </w:p>
        </w:tc>
      </w:tr>
      <w:tr>
        <w:trPr>
          <w:cantSplit/>
        </w:trPr>
        <w:tc>
          <w:tcPr>
            <w:tcW w:type="dxa" w:w="2948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Despesas operacionais</w:t>
            </w:r>
          </w:p>
        </w:tc>
        <w:tc>
          <w:tcPr>
            <w:tcW w:type="dxa" w:w="4762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Equipe fixa, marketing, seguros e administração</w:t>
            </w:r>
          </w:p>
        </w:tc>
        <w:tc>
          <w:tcPr>
            <w:tcW w:type="dxa" w:w="2381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(R$ 114.600)</w:t>
            </w:r>
          </w:p>
        </w:tc>
      </w:tr>
      <w:tr>
        <w:trPr>
          <w:cantSplit/>
        </w:trPr>
        <w:tc>
          <w:tcPr>
            <w:tcW w:type="dxa" w:w="2948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EBITDA</w:t>
            </w:r>
          </w:p>
        </w:tc>
        <w:tc>
          <w:tcPr>
            <w:tcW w:type="dxa" w:w="4762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Antes de depreciação e despesas financeiras</w:t>
            </w:r>
          </w:p>
        </w:tc>
        <w:tc>
          <w:tcPr>
            <w:tcW w:type="dxa" w:w="2381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R$ 39.300</w:t>
            </w:r>
          </w:p>
        </w:tc>
      </w:tr>
      <w:tr>
        <w:trPr>
          <w:cantSplit/>
        </w:trPr>
        <w:tc>
          <w:tcPr>
            <w:tcW w:type="dxa" w:w="2948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Depreciação estimada revisada</w:t>
            </w:r>
          </w:p>
        </w:tc>
        <w:tc>
          <w:tcPr>
            <w:tcW w:type="dxa" w:w="4762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Ativos do Anexo A</w:t>
            </w:r>
          </w:p>
        </w:tc>
        <w:tc>
          <w:tcPr>
            <w:tcW w:type="dxa" w:w="2381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(R$ 31.300)</w:t>
            </w:r>
          </w:p>
        </w:tc>
      </w:tr>
      <w:tr>
        <w:trPr>
          <w:cantSplit/>
        </w:trPr>
        <w:tc>
          <w:tcPr>
            <w:tcW w:type="dxa" w:w="2948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RESULTADO INDICATIVO</w:t>
            </w:r>
          </w:p>
        </w:tc>
        <w:tc>
          <w:tcPr>
            <w:tcW w:type="dxa" w:w="4762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Antes de eventuais juros e ajustes tributários</w:t>
            </w:r>
          </w:p>
        </w:tc>
        <w:tc>
          <w:tcPr>
            <w:tcW w:type="dxa" w:w="2381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R$ 8.000</w:t>
            </w:r>
          </w:p>
        </w:tc>
      </w:tr>
    </w:tbl>
    <w:p>
      <w:pPr>
        <w:spacing w:after="0" w:before="0" w:line="140" w:lineRule="exact"/>
      </w:pPr>
      <w:r>
        <w:rPr>
          <w:rFonts w:ascii="Inter" w:hAnsi="Inter" w:eastAsia="Inter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2"/>
            <w:shd w:fill="E9F0F2" w:val="clear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</w:tcBorders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Inter" w:hAnsi="Inter" w:eastAsia="Inter"/>
                <w:b/>
                <w:color w:val="1E4D3B"/>
                <w:sz w:val="34"/>
              </w:rPr>
              <w:t>77%</w:t>
            </w:r>
          </w:p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5C6661"/>
                <w:sz w:val="16"/>
              </w:rPr>
              <w:t>receita concentrada em grants/patrocínios</w:t>
            </w:r>
          </w:p>
        </w:tc>
        <w:tc>
          <w:tcPr>
            <w:tcW w:type="dxa" w:w="2522"/>
            <w:shd w:fill="FFFFFF" w:val="clear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</w:tcBorders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Inter" w:hAnsi="Inter" w:eastAsia="Inter"/>
                <w:b/>
                <w:color w:val="1E4D3B"/>
                <w:sz w:val="34"/>
              </w:rPr>
              <w:t>14,7%</w:t>
            </w:r>
          </w:p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5C6661"/>
                <w:sz w:val="16"/>
              </w:rPr>
              <w:t>margem EBITDA sobre receita líquida</w:t>
            </w:r>
          </w:p>
        </w:tc>
        <w:tc>
          <w:tcPr>
            <w:tcW w:type="dxa" w:w="2522"/>
            <w:shd w:fill="E9F0F2" w:val="clear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</w:tcBorders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Inter" w:hAnsi="Inter" w:eastAsia="Inter"/>
                <w:b/>
                <w:color w:val="1E4D3B"/>
                <w:sz w:val="34"/>
              </w:rPr>
              <w:t>3,0%</w:t>
            </w:r>
          </w:p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5C6661"/>
                <w:sz w:val="16"/>
              </w:rPr>
              <w:t>resultado indicativo sobre receita líquida</w:t>
            </w:r>
          </w:p>
        </w:tc>
        <w:tc>
          <w:tcPr>
            <w:tcW w:type="dxa" w:w="2522"/>
            <w:shd w:fill="FFFFFF" w:val="clear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</w:tcBorders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Inter" w:hAnsi="Inter" w:eastAsia="Inter"/>
                <w:b/>
                <w:color w:val="1E4D3B"/>
                <w:sz w:val="34"/>
              </w:rPr>
              <w:t>R$ 31,3 mil</w:t>
            </w:r>
          </w:p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5C6661"/>
                <w:sz w:val="16"/>
              </w:rPr>
              <w:t>reserva contábil anual de depreciação</w:t>
            </w:r>
          </w:p>
        </w:tc>
      </w:tr>
    </w:tbl>
    <w:p>
      <w:pPr>
        <w:spacing w:after="0" w:before="0" w:line="120" w:lineRule="exact"/>
      </w:pPr>
      <w:r>
        <w:rPr>
          <w:rFonts w:ascii="Inter" w:hAnsi="Inter" w:eastAsia="Inter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fill="E7F0EA" w:val="clear"/>
            <w:tcBorders>
              <w:top w:val="nil"/>
              <w:left w:val="single" w:sz="22" w:color="1C6B73"/>
              <w:bottom w:val="nil"/>
              <w:right w:val="nil"/>
            </w:tcBorders>
            <w:tcMar>
              <w:top w:w="150" w:type="dxa"/>
              <w:start w:w="21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Inter" w:hAnsi="Inter" w:eastAsia="Inter"/>
                <w:b/>
                <w:color w:val="1E4D3B"/>
                <w:sz w:val="21"/>
              </w:rPr>
              <w:t>Leitura do cenário</w:t>
            </w:r>
          </w:p>
          <w:p>
            <w:pPr>
              <w:spacing w:after="0" w:line="259" w:lineRule="auto"/>
            </w:pPr>
            <w:r>
              <w:rPr>
                <w:rFonts w:ascii="Inter" w:hAnsi="Inter" w:eastAsia="Inter"/>
                <w:color w:val="1E2A25"/>
                <w:sz w:val="18"/>
              </w:rPr>
              <w:t>O modelo é operacionalmente positivo, mas ainda concentrado em receita institucional e com margem líquida estreita. O piloto deve validar preço, custo por edição, capacidade de contratação e receitas recorrentes antes de assumir toda a frota.</w:t>
            </w:r>
          </w:p>
        </w:tc>
      </w:tr>
    </w:tbl>
    <w:p>
      <w:pPr>
        <w:spacing w:before="100" w:after="0" w:line="240" w:lineRule="auto"/>
      </w:pPr>
      <w:r>
        <w:rPr>
          <w:rFonts w:ascii="Inter" w:hAnsi="Inter" w:eastAsia="Inter"/>
          <w:i/>
          <w:color w:val="5C6661"/>
          <w:sz w:val="15"/>
        </w:rPr>
        <w:t>O regime tributário, o tratamento contábil de doações, subvenções e ativos, bem como juros e depreciação, devem ser revisados por profissional contábil antes de qualquer apresentação vinculante.</w:t>
      </w:r>
    </w:p>
    <w:p>
      <w:r>
        <w:br w:type="page"/>
      </w:r>
    </w:p>
    <w:p>
      <w:pPr>
        <w:keepNext/>
        <w:spacing w:before="0" w:after="100"/>
      </w:pPr>
      <w:r>
        <w:rPr>
          <w:rFonts w:ascii="Inter" w:hAnsi="Inter" w:eastAsia="Inter"/>
          <w:b/>
          <w:color w:val="E3A32B"/>
          <w:sz w:val="22"/>
        </w:rPr>
        <w:t xml:space="preserve">ANEXO C  </w:t>
      </w:r>
      <w:r>
        <w:rPr>
          <w:rFonts w:ascii="Inter" w:hAnsi="Inter" w:eastAsia="Inter"/>
          <w:b/>
          <w:color w:val="1E4D3B"/>
          <w:sz w:val="40"/>
        </w:rPr>
        <w:t>Checklist antes do envio</w:t>
      </w:r>
    </w:p>
    <w:p>
      <w:pPr>
        <w:keepNext/>
        <w:spacing w:after="200"/>
      </w:pPr>
      <w:r>
        <w:rPr>
          <w:rFonts w:ascii="Inter" w:hAnsi="Inter" w:eastAsia="Inter"/>
          <w:b/>
          <w:color w:val="1C6B73"/>
          <w:sz w:val="18"/>
        </w:rPr>
        <w:t>CAMPOS QUE AINDA DEPENDEM DO PROPONENTE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</w:tblGrid>
      <w:tr>
        <w:tc>
          <w:tcPr>
            <w:tcW w:type="dxa" w:w="10092"/>
            <w:shd w:fill="E3A32B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Inter" w:hAnsi="Inter" w:eastAsia="Inter"/>
                <w:sz w:val="2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700"/>
            <w:shd w:fill="1E4D3B" w:val="clea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1E4D3B"/>
              <w:left w:val="single" w:sz="4" w:color="FFFFFF"/>
              <w:bottom w:val="single" w:sz="4" w:color="1E4D3B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6576"/>
            <w:shd w:fill="1E4D3B" w:val="clea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1E4D3B"/>
              <w:left w:val="single" w:sz="4" w:color="FFFFFF"/>
              <w:bottom w:val="single" w:sz="4" w:color="1E4D3B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Informação / documento</w:t>
            </w:r>
          </w:p>
        </w:tc>
        <w:tc>
          <w:tcPr>
            <w:tcW w:type="dxa" w:w="1814"/>
            <w:shd w:fill="1E4D3B" w:val="clea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1E4D3B"/>
              <w:left w:val="single" w:sz="4" w:color="FFFFFF"/>
              <w:bottom w:val="single" w:sz="4" w:color="1E4D3B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Obrigatória</w:t>
            </w:r>
          </w:p>
        </w:tc>
        <w:tc>
          <w:tcPr>
            <w:tcW w:type="dxa" w:w="6576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Nome da organização, CNPJ, endereço, responsável legal e contatos</w:t>
            </w:r>
          </w:p>
        </w:tc>
        <w:tc>
          <w:tcPr>
            <w:tcW w:type="dxa" w:w="1814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[PREENCHER]</w:t>
            </w:r>
          </w:p>
        </w:tc>
      </w:tr>
      <w:tr>
        <w:trPr>
          <w:cantSplit/>
        </w:trPr>
        <w:tc>
          <w:tcPr>
            <w:tcW w:type="dxa" w:w="1700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Obrigatória</w:t>
            </w:r>
          </w:p>
        </w:tc>
        <w:tc>
          <w:tcPr>
            <w:tcW w:type="dxa" w:w="6576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Minibiografia da equipe e comprovação de experiências relevantes</w:t>
            </w:r>
          </w:p>
        </w:tc>
        <w:tc>
          <w:tcPr>
            <w:tcW w:type="dxa" w:w="1814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[PREENCHER]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Obrigatória</w:t>
            </w:r>
          </w:p>
        </w:tc>
        <w:tc>
          <w:tcPr>
            <w:tcW w:type="dxa" w:w="6576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Definição da cidade-base e dos quatro territórios do piloto</w:t>
            </w:r>
          </w:p>
        </w:tc>
        <w:tc>
          <w:tcPr>
            <w:tcW w:type="dxa" w:w="1814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[PREENCHER]</w:t>
            </w:r>
          </w:p>
        </w:tc>
      </w:tr>
      <w:tr>
        <w:trPr>
          <w:cantSplit/>
        </w:trPr>
        <w:tc>
          <w:tcPr>
            <w:tcW w:type="dxa" w:w="1700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Obrigatória</w:t>
            </w:r>
          </w:p>
        </w:tc>
        <w:tc>
          <w:tcPr>
            <w:tcW w:type="dxa" w:w="6576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Cartas de interesse ou termos de parceria dos anfitriões</w:t>
            </w:r>
          </w:p>
        </w:tc>
        <w:tc>
          <w:tcPr>
            <w:tcW w:type="dxa" w:w="1814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[PREENCHER]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Obrigatória</w:t>
            </w:r>
          </w:p>
        </w:tc>
        <w:tc>
          <w:tcPr>
            <w:tcW w:type="dxa" w:w="6576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Três cotações para cargo bikes, equipamentos, seguros e serviços</w:t>
            </w:r>
          </w:p>
        </w:tc>
        <w:tc>
          <w:tcPr>
            <w:tcW w:type="dxa" w:w="1814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[PREENCHER]</w:t>
            </w:r>
          </w:p>
        </w:tc>
      </w:tr>
      <w:tr>
        <w:trPr>
          <w:cantSplit/>
        </w:trPr>
        <w:tc>
          <w:tcPr>
            <w:tcW w:type="dxa" w:w="1700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Obrigatória</w:t>
            </w:r>
          </w:p>
        </w:tc>
        <w:tc>
          <w:tcPr>
            <w:tcW w:type="dxa" w:w="6576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Cronograma com datas e responsável por cada entrega</w:t>
            </w:r>
          </w:p>
        </w:tc>
        <w:tc>
          <w:tcPr>
            <w:tcW w:type="dxa" w:w="1814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[PREENCHER]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Recomendada</w:t>
            </w:r>
          </w:p>
        </w:tc>
        <w:tc>
          <w:tcPr>
            <w:tcW w:type="dxa" w:w="6576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Políticas de segurança, proteção de crianças, LGPD e uso de imagem</w:t>
            </w:r>
          </w:p>
        </w:tc>
        <w:tc>
          <w:tcPr>
            <w:tcW w:type="dxa" w:w="1814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[PREENCHER]</w:t>
            </w:r>
          </w:p>
        </w:tc>
      </w:tr>
      <w:tr>
        <w:trPr>
          <w:cantSplit/>
        </w:trPr>
        <w:tc>
          <w:tcPr>
            <w:tcW w:type="dxa" w:w="1700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Recomendada</w:t>
            </w:r>
          </w:p>
        </w:tc>
        <w:tc>
          <w:tcPr>
            <w:tcW w:type="dxa" w:w="6576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Portfólio, fotos reais, depoimentos ou protótipos já testados</w:t>
            </w:r>
          </w:p>
        </w:tc>
        <w:tc>
          <w:tcPr>
            <w:tcW w:type="dxa" w:w="1814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[PREENCHER]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Recomendada</w:t>
            </w:r>
          </w:p>
        </w:tc>
        <w:tc>
          <w:tcPr>
            <w:tcW w:type="dxa" w:w="6576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Conta bancária, fluxo de aprovação de despesas e modelo de prestação</w:t>
            </w:r>
          </w:p>
        </w:tc>
        <w:tc>
          <w:tcPr>
            <w:tcW w:type="dxa" w:w="1814"/>
            <w:shd w:fill="FFFFFF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[PREENCHER]</w:t>
            </w:r>
          </w:p>
        </w:tc>
      </w:tr>
      <w:tr>
        <w:trPr>
          <w:cantSplit/>
        </w:trPr>
        <w:tc>
          <w:tcPr>
            <w:tcW w:type="dxa" w:w="1700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/>
                <w:color w:val="1E2A25"/>
                <w:sz w:val="16"/>
              </w:rPr>
              <w:t>Recomendada</w:t>
            </w:r>
          </w:p>
        </w:tc>
        <w:tc>
          <w:tcPr>
            <w:tcW w:type="dxa" w:w="6576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Parecer contábil sobre receitas, impostos, depreciação e natureza do aporte</w:t>
            </w:r>
          </w:p>
        </w:tc>
        <w:tc>
          <w:tcPr>
            <w:tcW w:type="dxa" w:w="1814"/>
            <w:shd w:fill="F7F9F6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9E0DC"/>
              <w:left w:val="single" w:sz="3" w:color="D9E0DC"/>
              <w:bottom w:val="single" w:sz="3" w:color="D9E0DC"/>
              <w:right w:val="single" w:sz="3" w:color="D9E0DC"/>
            </w:tcBorders>
          </w:tcPr>
          <w:p>
            <w:pPr>
              <w:spacing w:after="0" w:line="240" w:lineRule="auto"/>
            </w:pPr>
            <w:r>
              <w:rPr>
                <w:rFonts w:ascii="Inter" w:hAnsi="Inter" w:eastAsia="Inter"/>
                <w:b w:val="0"/>
                <w:color w:val="1E2A25"/>
                <w:sz w:val="16"/>
              </w:rPr>
              <w:t>[PREENCHER]</w:t>
            </w:r>
          </w:p>
        </w:tc>
      </w:tr>
    </w:tbl>
    <w:p>
      <w:pPr>
        <w:spacing w:after="0" w:before="0" w:line="120" w:lineRule="exact"/>
      </w:pPr>
      <w:r>
        <w:rPr>
          <w:rFonts w:ascii="Inter" w:hAnsi="Inter" w:eastAsia="Inter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fill="F4F0E6" w:val="clear"/>
            <w:tcBorders>
              <w:top w:val="nil"/>
              <w:left w:val="single" w:sz="22" w:color="E3A32B"/>
              <w:bottom w:val="nil"/>
              <w:right w:val="nil"/>
            </w:tcBorders>
            <w:tcMar>
              <w:top w:w="150" w:type="dxa"/>
              <w:start w:w="21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Inter" w:hAnsi="Inter" w:eastAsia="Inter"/>
                <w:b/>
                <w:color w:val="1E4D3B"/>
                <w:sz w:val="21"/>
              </w:rPr>
              <w:t>Uso das imagens</w:t>
            </w:r>
          </w:p>
          <w:p>
            <w:pPr>
              <w:spacing w:after="0" w:line="259" w:lineRule="auto"/>
            </w:pPr>
            <w:r>
              <w:rPr>
                <w:rFonts w:ascii="Inter" w:hAnsi="Inter" w:eastAsia="Inter"/>
                <w:color w:val="1E2A25"/>
                <w:sz w:val="18"/>
              </w:rPr>
              <w:t>As imagens do ônibus e do barco são conceituais. Antes do envio, mantenha essa identificação ou substitua por fotos reais, desenhos técnicos ou protótipos. Não apresente os veículos como ativos já existentes.</w:t>
            </w:r>
          </w:p>
        </w:tc>
      </w:tr>
    </w:tbl>
    <w:p>
      <w:pPr>
        <w:spacing w:after="0" w:before="0" w:line="100" w:lineRule="exact"/>
      </w:pPr>
      <w:r>
        <w:rPr>
          <w:rFonts w:ascii="Inter" w:hAnsi="Inter" w:eastAsia="Inter"/>
          <w:sz w:val="2"/>
        </w:rPr>
        <w:t xml:space="preserve"> </w:t>
      </w:r>
    </w:p>
    <w:p>
      <w:pPr>
        <w:spacing w:before="0" w:after="120" w:line="269" w:lineRule="auto"/>
      </w:pPr>
      <w:r>
        <w:rPr>
          <w:rFonts w:ascii="Inter" w:hAnsi="Inter" w:eastAsia="Inter"/>
          <w:b/>
          <w:color w:val="1E2A25"/>
          <w:sz w:val="20"/>
        </w:rPr>
        <w:t>Mensagem de abordagem sugerida</w:t>
      </w:r>
      <w:r>
        <w:rPr>
          <w:rFonts w:ascii="Inter" w:hAnsi="Inter" w:eastAsia="Inter"/>
          <w:i w:val="0"/>
          <w:color w:val="1E2A25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fill="E9F0F2" w:val="clear"/>
            <w:tcBorders>
              <w:top w:val="nil"/>
              <w:left w:val="single" w:sz="22" w:color="1C6B73"/>
              <w:bottom w:val="nil"/>
              <w:right w:val="nil"/>
            </w:tcBorders>
            <w:tcMar>
              <w:top w:w="150" w:type="dxa"/>
              <w:start w:w="21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Inter" w:hAnsi="Inter" w:eastAsia="Inter"/>
                <w:b/>
                <w:color w:val="1E4D3B"/>
                <w:sz w:val="21"/>
              </w:rPr>
              <w:t>E-mail / WhatsApp</w:t>
            </w:r>
          </w:p>
          <w:p>
            <w:pPr>
              <w:spacing w:after="0" w:line="259" w:lineRule="auto"/>
            </w:pPr>
            <w:r>
              <w:rPr>
                <w:rFonts w:ascii="Inter" w:hAnsi="Inter" w:eastAsia="Inter"/>
                <w:color w:val="1E2A25"/>
                <w:sz w:val="18"/>
              </w:rPr>
              <w:t>Olá, [Nome]. O Vaga Lúmen é uma escola itinerante de permacultura e agroecologia que leva oficinas práticas e soluções demonstrativas a territórios com acesso limitado. Estamos captando R$ 85 mil para um piloto de seis meses, com oito ativações, 160 participantes e monitoramento de resultados. Posso apresentar a proposta em 20 minutos e avaliar a aderência às prioridades de impacto da sua organização?</w:t>
            </w:r>
          </w:p>
        </w:tc>
      </w:tr>
    </w:tbl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822" w:right="907" w:bottom="765" w:left="907" w:header="369" w:footer="36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c>
        <w:tcPr>
          <w:tcW w:type="dxa" w:w="8220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spacing w:after="0"/>
          </w:pPr>
          <w:r>
            <w:rPr>
              <w:rFonts w:ascii="Inter" w:hAnsi="Inter" w:eastAsia="Inter"/>
              <w:color w:val="5C6661"/>
              <w:sz w:val="15"/>
            </w:rPr>
            <w:t>Documento de captação | Versão estratégica 2026</w:t>
          </w:r>
        </w:p>
      </w:tc>
      <w:tc>
        <w:tcPr>
          <w:tcW w:type="dxa" w:w="1870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spacing w:after="0"/>
            <w:jc w:val="right"/>
          </w:pPr>
          <w:r>
            <w:rPr>
              <w:rFonts w:ascii="Inter" w:hAnsi="Inter" w:eastAsia="Inter"/>
              <w:color w:val="5C6661"/>
              <w:sz w:val="16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Inter" w:hAnsi="Inter" w:eastAsia="Inter"/>
        <w:b/>
        <w:color w:val="1E4D3B"/>
        <w:sz w:val="17"/>
      </w:rPr>
      <w:t>VAGA LÚMEN</w:t>
    </w:r>
    <w:r>
      <w:rPr>
        <w:rFonts w:ascii="Inter" w:hAnsi="Inter" w:eastAsia="Inter"/>
        <w:color w:val="5C6661"/>
        <w:sz w:val="16"/>
      </w:rPr>
      <w:t xml:space="preserve">  |  PROPOSTA DE FINANCIAMENTO</w:t>
    </w:r>
  </w:p>
  <w:p>
    <w:pPr>
      <w:spacing w:after="0" w:before="0"/>
      <w:pBdr>
        <w:bottom w:val="single" w:sz="8" w:space="1" w:color="E3A32B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Inter" w:hAnsi="Inter"/>
      <w:color w:val="1E2A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" w:hAnsi="Inter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" w:hAnsi="Inter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Vaga Lúmen — Proposta para Financiadores</dc:title>
  <dc:subject>Proposta de financiamento do piloto e plano de escala</dc:subject>
  <dc:creator>Vaga Lúmen</dc:creator>
  <cp:keywords>permacultura, agroecologia, educação ambiental, impacto, ESG, financiamento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