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4f81bd" w:space="0" w:sz="6" w:val="single"/>
          <w:right w:color="auto" w:space="0" w:sz="0" w:val="none"/>
          <w:between w:color="auto" w:space="0" w:sz="0" w:val="none"/>
        </w:pBdr>
        <w:spacing w:after="300" w:line="240" w:lineRule="auto"/>
        <w:jc w:val="center"/>
        <w:rPr>
          <w:b w:val="1"/>
          <w:bCs w:val="1"/>
          <w:color w:val="17365d"/>
          <w:sz w:val="52"/>
          <w:szCs w:val="52"/>
        </w:rPr>
      </w:pPr>
      <w:r w:rsidDel="00000000" w:rsidR="00000000" w:rsidRPr="00000000">
        <w:rPr>
          <w:b w:val="1"/>
          <w:bCs w:val="1"/>
          <w:color w:val="17365d"/>
          <w:sz w:val="52"/>
          <w:szCs w:val="52"/>
          <w:rtl w:val="0"/>
        </w:rPr>
        <w:t xml:space="preserve">Sponsored Website – Third Draft Review Brief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Key issues to address before finalisation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Overall: </w:t>
      </w:r>
      <w:r w:rsidDel="00000000" w:rsidR="00000000" w:rsidRPr="00000000">
        <w:rPr>
          <w:rtl w:val="0"/>
        </w:rPr>
        <w:t xml:space="preserve">The structure is improved, but the latest draft feels over-decorated in some areas and still under-designed in others.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2970"/>
        <w:gridCol w:w="3000"/>
        <w:tblGridChange w:id="0">
          <w:tblGrid>
            <w:gridCol w:w="2925"/>
            <w:gridCol w:w="2970"/>
            <w:gridCol w:w="300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f0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f0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f0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Background graphics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Too many arrows, crosses, circles and diamond shapes make sections look busy.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Remove most decorative shapes and keep backgrounds clean.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Hero visual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hero still uses a generic browser illustration.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Replace it with a real Takween portfolio project in desktop + mobile mockup form.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Icons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Icon size, style, stroke and spacing are inconsistent.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 one icon family with consistent sizing and spacing throughout.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 &amp; readability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Several sections still use small, dense text.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Shorten copy and increase body-text size/line spacing.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Spacing &amp; CTAs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Padding/gaps vary, and some CTA strips feel detached from their sections.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Standardise spacing and place CTAs naturally at the end of relevant sections.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 hierarchy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Scope, qualification, process and final CTA still feel list-heavy or visually weak.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Give key conversion sections stronger hierarchy and use purposeful visuals only.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Column layout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Sections that use multiple columns feel flat and visually disconnected.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Place each column inside a clear card/container with consistent padding, spacing and alignment.</w:t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Priority for next revision: </w:t>
      </w:r>
      <w:r w:rsidDel="00000000" w:rsidR="00000000" w:rsidRPr="00000000">
        <w:rPr>
          <w:rtl w:val="0"/>
        </w:rPr>
        <w:t xml:space="preserve">clean the backgrounds, use a real Takween project in the hero, standardise icons, and improve typography/spacing before adding any more decorative elements.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Sponsored Website – Third Draft Review Brief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b w:val="1"/>
          <w:bCs w:val="1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