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nrope" w:cs="Manrope" w:eastAsia="Manrope" w:hAnsi="Manrope"/>
          <w:b/>
          <w:bCs/>
          <w:color w:val="0F172A"/>
          <w:sz w:val="40"/>
          <w:szCs w:val="40"/>
        </w:rPr>
        <w:t xml:space="preserve">Halal Business Sponsored Website</w:t>
      </w:r>
    </w:p>
    <w:p>
      <w:pPr>
        <w:spacing w:after="260"/>
      </w:pPr>
      <w:r>
        <w:rPr>
          <w:rFonts w:ascii="Inter" w:cs="Inter" w:eastAsia="Inter" w:hAnsi="Inter"/>
          <w:i/>
          <w:iCs/>
          <w:color w:val="111827"/>
          <w:sz w:val="22"/>
          <w:szCs w:val="22"/>
        </w:rPr>
        <w:t xml:space="preserve">Developer brief for the landing page, application system and programme terms — Takween Digital's halal-business sponsorship initiative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7200"/>
      </w:tblGrid>
      <w:tr>
        <w:tc>
          <w:tcPr>
            <w:tcW w:type="dxa" w:w="2600"/>
            <w:shd w:fill="F1F5F9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200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0"/>
                <w:szCs w:val="20"/>
              </w:rPr>
              <w:t xml:space="preserve">Muhammad Numan Latif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7200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0"/>
                <w:szCs w:val="20"/>
              </w:rPr>
              <w:t xml:space="preserve">Real build — a marketing landing page, a programme terms page, and a lightweight application system. No user accounts, no payments on this site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Reference material</w:t>
            </w:r>
          </w:p>
        </w:tc>
        <w:tc>
          <w:tcPr>
            <w:tcW w:type="dxa" w:w="7200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0"/>
                <w:szCs w:val="20"/>
              </w:rPr>
              <w:t xml:space="preserve">Halal Business Lead Magnet &amp; Client Acquisition Model (strategy) and Halal Business Sponsored Website Brief draft 2 (original content pass) — this document supersedes both for build purposes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Stack</w:t>
            </w:r>
          </w:p>
        </w:tc>
        <w:tc>
          <w:tcPr>
            <w:tcW w:type="dxa" w:w="7200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0"/>
                <w:szCs w:val="20"/>
              </w:rPr>
              <w:t xml:space="preserve">Next.js, same family as our other web builds — kept deliberately lightweight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Core feature</w:t>
            </w:r>
          </w:p>
        </w:tc>
        <w:tc>
          <w:tcPr>
            <w:tcW w:type="dxa" w:w="7200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0"/>
                <w:szCs w:val="20"/>
              </w:rPr>
              <w:t xml:space="preserve">An application form that captures everything the team needs to review and score each applicant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7200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0"/>
                <w:szCs w:val="20"/>
              </w:rPr>
              <w:t xml:space="preserve">Staging link for review before this goes live on its own domain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CBD5E1" w:sz="6" w:space="4"/>
        </w:pBdr>
        <w:spacing w:after="160" w:before="380"/>
      </w:pPr>
      <w:r>
        <w:rPr>
          <w:rFonts w:ascii="Manrope" w:cs="Manrope" w:eastAsia="Manrope" w:hAnsi="Manrope"/>
          <w:b/>
          <w:bCs/>
          <w:color w:val="0F172A"/>
          <w:sz w:val="27"/>
          <w:szCs w:val="27"/>
        </w:rPr>
        <w:t xml:space="preserve">Purpose</w:t>
      </w: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This is a specialist halal-business initiative operated by Takween Digital Services: a genuinely free starter website for a limited number of selected, established Muslim-owned businesses each month, in exchange for a real portfolio project, honest feedback, and permission to use the results as a case study. Paid upgrade work is offered transparently afterwards where a genuine need exists — never assumed, never hidden.</w:t>
      </w: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This brief supersedes the earlier draft 2 for build purposes. Draft 2 got the page structure and most of the content right, but it was a content and conversion brief, not a technical one — it never specified what the application form actually collects, where that data goes, or what the team does with it after submission. It also dropped a handful of specific items the strategy document called for. This document fixes both: it is the complete, self-contained spec to build from, and the strategy document is background only from here.</w:t>
      </w: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Immediately below is a short list of calls that shape the content in this brief. Each has a recommendation, so the brief is buildable as written — but they are recommendations, not sign-off. Please get an explicit yes from Daniyal on these before this goes live, not just my assumption.</w:t>
      </w:r>
    </w:p>
    <w:p>
      <w:pPr>
        <w:pStyle w:val="Heading1"/>
        <w:pBdr>
          <w:bottom w:val="single" w:color="CBD5E1" w:sz="6" w:space="4"/>
        </w:pBdr>
        <w:spacing w:after="160" w:before="380"/>
      </w:pPr>
      <w:r>
        <w:rPr>
          <w:rFonts w:ascii="Manrope" w:cs="Manrope" w:eastAsia="Manrope" w:hAnsi="Manrope"/>
          <w:b/>
          <w:bCs/>
          <w:color w:val="0F172A"/>
          <w:sz w:val="27"/>
          <w:szCs w:val="27"/>
        </w:rPr>
        <w:t xml:space="preserve">Recommended Decisions — Confirm Before Launch</w:t>
      </w:r>
    </w:p>
    <w:tbl>
      <w:tblPr>
        <w:tblW w:type="dxa" w:w="9800"/>
        <w:tblBorders>
          <w:top w:val="single" w:color="10B981" w:sz="6"/>
          <w:left w:val="single" w:color="10B981" w:sz="6"/>
          <w:bottom w:val="single" w:color="10B981" w:sz="6"/>
          <w:right w:val="single" w:color="10B981" w:sz="6"/>
          <w:insideH w:val="none" w:color="FFFFFF" w:sz="0"/>
          <w:insideV w:val="none" w:color="FFFFFF" w:sz="0"/>
        </w:tblBorders>
      </w:tblPr>
      <w:tblGrid>
        <w:gridCol w:w="9800"/>
      </w:tblGrid>
      <w:tr>
        <w:tc>
          <w:tcPr>
            <w:tcW w:type="dxa" w:w="9800"/>
            <w:shd w:fill="ECFD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1. Disclosure wording and placement.</w:t>
            </w:r>
          </w:p>
          <w:p>
            <w:pPr>
              <w:spacing w:after="16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Recommendation: state it in three places — the footer (“A Takween Digital Services initiative”), the top of the Programme Terms page (“This programme is operated by Takween Digital Services”), and a short line near the application form's submit button (“Applications are reviewed by the Takween Digital Services team”). Reasoning: covers the locations the strategy document allows without cluttering the persuasive sections, and puts it at the actual moment of transaction.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2. Application form fields.</w:t>
            </w:r>
          </w:p>
          <w:p>
            <w:pPr>
              <w:spacing w:after="16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Recommendation: use the field list in the Data Model section below — it maps directly to the ten scoring criteria in the strategy document. Reasoning: without this, the scoring model has no data to work from.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3. Capacity number.</w:t>
            </w:r>
          </w:p>
          <w:p>
            <w:pPr>
              <w:spacing w:after="16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Recommendation: show the real figure — “We sponsor up to 5 Muslim-owned businesses each month” — as a single content value the team can update, not hardcoded in multiple places. Reasoning: a real number was the point of moving away from a fake acceptance percentage; keep it accurate and it stays defensible.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4. Hero headline.</w:t>
            </w:r>
          </w:p>
          <w:p>
            <w:pPr>
              <w:spacing w:after="16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Recommendation: “Turn your Instagram presence into a professional business presence,” over the draft's current headline. Reasoning: of the three options the strategy document proposed, this one names the single pain point every listed business type shares.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5. Google review ask.</w:t>
            </w:r>
          </w:p>
          <w:p>
            <w:pPr>
              <w:spacing w:after="16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Recommendation: keep it, but as a separate, clearly optional question after the main testimonial consent, not bundled into one checkbox. Reasoning: keeps the niche brand feeling independent while still giving happy clients an easy way to support Takween directly.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6. Halal/business credentials field.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Recommendation: for food businesses, ask for halal certification or certifying body; for every other business type, a generic optional field — “any credentials, certifications or affiliations you'd like shown.” Reasoning: halal certification is a food-safety concept; a tutor or salon being Muslim-owned doesn't mean there's a certificate to display.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BD5E1" w:sz="6" w:space="4"/>
        </w:pBdr>
        <w:spacing w:after="160" w:before="380"/>
      </w:pPr>
      <w:r>
        <w:rPr>
          <w:rFonts w:ascii="Manrope" w:cs="Manrope" w:eastAsia="Manrope" w:hAnsi="Manrope"/>
          <w:b/>
          <w:bCs/>
          <w:color w:val="0F172A"/>
          <w:sz w:val="27"/>
          <w:szCs w:val="27"/>
        </w:rPr>
        <w:t xml:space="preserve">Page Structure</w:t>
      </w: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Two pages: the landing page (single page, sections below) and the Programme Terms page. No login, no accounts, no payment processing on this site — any paid upgrade work discussed with a business happens through the normal Takween process, not through this site.</w:t>
      </w:r>
    </w:p>
    <w:p>
      <w:pPr>
        <w:pStyle w:val="Heading1"/>
        <w:pBdr>
          <w:bottom w:val="single" w:color="CBD5E1" w:sz="6" w:space="4"/>
        </w:pBdr>
        <w:spacing w:after="160" w:before="380"/>
      </w:pPr>
      <w:r>
        <w:rPr>
          <w:rFonts w:ascii="Manrope" w:cs="Manrope" w:eastAsia="Manrope" w:hAnsi="Manrope"/>
          <w:b/>
          <w:bCs/>
          <w:color w:val="0F172A"/>
          <w:sz w:val="27"/>
          <w:szCs w:val="27"/>
        </w:rPr>
        <w:t xml:space="preserve">Content — Landing Page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700"/>
        <w:gridCol w:w="1700"/>
        <w:gridCol w:w="7400"/>
      </w:tblGrid>
      <w:tr>
        <w:trPr>
          <w:tblHeader/>
        </w:trPr>
        <w:tc>
          <w:tcPr>
            <w:tcW w:type="dxa" w:w="700"/>
            <w:shd w:fill="0F172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shd w:fill="0F172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7400"/>
            <w:shd w:fill="0F172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Hero / Offer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Headline per Decision 4. Three supporting bullets: limited places, defined scope, no obligation to buy more. States the build-is-£0/hosting-is-separate line and a short disclosure line per Decision 1. CTA: “Apply for a Sponsored Website.”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Who It's For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Halal restaurants, takeaways and catering; halal butchers and food businesses; Muslim salons and barbers; Islamic education centres, Quran academies and tutors; Muslim wedding service providers; modest-fashion and Islamic retail; Muslim coaches, consultants and professional services.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Current Digital Problem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Instagram/WhatsApp acting as the whole online presence; customers digging through posts/DMs for basic info; established offline but looking less professional online; info spread across platforms; losing trust to competitors with a clearer web presence.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What the Website Solves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One professional home online; clearer services, contact and business details; stronger credibility and first impression; easier enquiries; a proper place to showcase work and reviews.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Why It's Sponsored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Stated openly on the page, not hidden in FAQ/Terms. “The Business Receives / The Initiative Receives” comparison. Explicit: honest completion feedback is expected; a positive review is never required.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What's Included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Up to 4–5 pages; responsive design; business info, services and menu where relevant; contact form and/or WhatsApp CTA; Google Maps and social links; portfolio/gallery where appropriate; existing testimonials where available; relevant halal/business credentials per Decision 6; basic on-page SEO; basic performance optimisation; up to 2 revision rounds. Development cost restated here: £0.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What's Outside Scope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Ecommerce/large catalogues, online ordering, advanced booking, payment integrations, LMS/student portals, membership systems, CRM, automation/AI integrations, custom dashboards or software, advanced SEO campaigns, ongoing marketing, unlimited revisions, ongoing maintenance, future pages or functionality after completion. Transition line: “That isn't part of the free starter scope, but we're happy to scope and quote it separately — you'll always see the price before any paid work begins.”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Domain, Hosting &amp; Third-Party Costs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Business remains responsible for domain and hosting and any paid plugin/licence/third-party service; the team can guide them toward a suitable option if asked.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What Happens After Launch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A one-time project covering the agreed scope, design, development, revisions and launch. A short, defined close-out window (see Programme Terms) covers issues in the delivered scope; anything else gets a fresh quotation. No language implying the site might be unreliable.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Who Qualifies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Already operating with real customers; Muslim-owned or clearly within the halal/Muslim market; no or visibly weak/outdated website; clear products or services; can provide content promptly; a website would materially help; good portfolio potential; responsive owner; willing to give honest feedback. (Public-facing version — the full weighted scoring stays internal; see Data Model.)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Who Is Usually Not a Fit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Not yet launched / no real customers; expects a large custom platform for free; main need is ecommerce, LMS or custom software; expects unlimited revisions or ongoing free support; can't provide content or cooperate during the project; already has a strong site with no real need for a rebuild.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Limited Monthly Capacity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The real figure per Decision 3: “We sponsor up to 5 Muslim-owned businesses each month.” Stored as one editable value, not hardcoded in several places.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How the Process Works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Six steps, each with a one-line purpose: Apply → Review → Discovery → Build → Review &amp; Launch → Feedback &amp; Close-Out.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14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Portfolio, Testimonials &amp; Social Proof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No fake testimonials or invented case studies before real ones exist. Consent line on the completion form: “May we feature your feedback and project in the portfolio and social channels of [Halal Brand] and Takween Digital Services?” Five questions: online presence before, improvement made, experience working with the team, would they recommend us, permission to use their feedback across both brands. A separate, optional ask per Decision 5, using: “Your project was delivered by the Takween Digital Services team through our [Halal Brand] initiative. If you were happy with the experience, we would really appreciate a review of the delivery team on Takween's Google profile.”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FAQ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The seven questions from draft 2 (Is it really free? / Domain and hosting? / Buy anything after? / Ongoing maintenance? / More later? / Do I have to give feedback? / Does applying guarantee a website?), plus one more: “Who actually builds my website?” — answered with the disclosure line.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16</w:t>
            </w:r>
          </w:p>
        </w:tc>
        <w:tc>
          <w:tcPr>
            <w:tcW w:type="dxa" w:w="1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Final CTA</w:t>
            </w:r>
          </w:p>
        </w:tc>
        <w:tc>
          <w:tcPr>
            <w:tcW w:type="dxa" w:w="74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Summarises the offer before the button: selected Muslim-owned businesses, a defined starter site at no development cost, limited monthly places, honest feedback expected, no promise of ongoing free maintenance. CTA: “Apply for a Sponsored Website.”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BD5E1" w:sz="6" w:space="4"/>
        </w:pBdr>
        <w:spacing w:after="160" w:before="380"/>
      </w:pPr>
      <w:r>
        <w:rPr>
          <w:rFonts w:ascii="Manrope" w:cs="Manrope" w:eastAsia="Manrope" w:hAnsi="Manrope"/>
          <w:b/>
          <w:bCs/>
          <w:color w:val="0F172A"/>
          <w:sz w:val="27"/>
          <w:szCs w:val="27"/>
        </w:rPr>
        <w:t xml:space="preserve">Programme Terms Page — Content Requirements</w:t>
      </w: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The landing page explains the commercial points in plain language; this page holds the detailed rules. Fourteen items: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Relationship and disclosure — that the programme is operated by Takween Digital Services, stated plainly, not just implied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Exact free-package scope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Revision limits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Client content responsibilities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Domain and hosting responsibilities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Third-party costs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Feedback expectation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Portfolio/testimonial permission, including the consent wording used on the completion form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Project completion and close-out point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Short post-launch issue-reporting window for delivered-scope issues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Ongoing maintenance exclusion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Future work and additional functionality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Non-response / project-delay policy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Cancellation and termination conditions</w:t>
      </w:r>
    </w:p>
    <w:p>
      <w:pPr>
        <w:spacing w:after="200"/>
      </w:pPr>
    </w:p>
    <w:p>
      <w:pPr>
        <w:pStyle w:val="Heading1"/>
        <w:pBdr>
          <w:bottom w:val="single" w:color="CBD5E1" w:sz="6" w:space="4"/>
        </w:pBdr>
        <w:spacing w:after="160" w:before="380"/>
      </w:pPr>
      <w:r>
        <w:rPr>
          <w:rFonts w:ascii="Manrope" w:cs="Manrope" w:eastAsia="Manrope" w:hAnsi="Manrope"/>
          <w:b/>
          <w:bCs/>
          <w:color w:val="0F172A"/>
          <w:sz w:val="27"/>
          <w:szCs w:val="27"/>
        </w:rPr>
        <w:t xml:space="preserve">Data Model — Applications</w:t>
      </w: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One record per submission. No applicant accounts — this is a one-time form, not a portal.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0F172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600"/>
            <w:shd w:fill="0F172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business_name, business_type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Type is one of the seven listed niches, plus “Other”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years_operating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Feeds “already operating with real customers”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current_website_url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Nullable — “we don't have one yet” is a valid answer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instagram_handle, facebook_handle, activity_level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Feeds “active social media / existing audience”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google_profile_url, google_review_count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Nullable — feeds “Google reviews / evidence of demand”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services_description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Short text — what the business does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biggest_challenge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Open text — feeds “clear need” judgement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content_readiness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Yes / partially / no — feeds “can provide content quickly”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credentials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Per Decision 6 — certification field for food businesses, generic optional field otherwise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contact_name, contact_email, contact_phone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consent_terms, consent_feedback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Both required checkboxes before submission is accepted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new / in_review / accepted / waitlisted / declined / completed</w:t>
            </w:r>
          </w:p>
        </w:tc>
      </w:tr>
      <w:tr>
        <w:tc>
          <w:tcPr>
            <w:tcW w:type="dxa" w:w="3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internal_score, internal_notes, reviewer</w:t>
            </w:r>
          </w:p>
        </w:tc>
        <w:tc>
          <w:tcPr>
            <w:tcW w:type="dxa" w:w="66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Populated by the reviewer, not the applicant — see note below</w:t>
            </w:r>
          </w:p>
        </w:tc>
      </w:tr>
    </w:tbl>
    <w:p>
      <w:pPr>
        <w:spacing w:after="140"/>
      </w:pP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On scoring: recommend keeping this a manual step, scored by a reviewer against the strategy document's ten-criteria table, rather than automating it in v1. Several of the highest-weighted criteria — portfolio potential, visual quality — need a person's judgement anyway, and the volume (up to 5 accepted a month) doesn't justify the build cost of automating the rest.</w:t>
      </w: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On where submissions land: recommend syncing new applications into a shared spreadsheet the team already works from, rather than a bespoke admin panel, and revisiting only if volume grows well beyond current capacity. This is a judgement call — if you'd rather have a simple internal review screen instead, that's a reasonable alternative; just note the choice and reasoning in your submission.</w:t>
      </w:r>
    </w:p>
    <w:p>
      <w:pPr>
        <w:spacing w:after="200"/>
      </w:pPr>
    </w:p>
    <w:p>
      <w:pPr>
        <w:pStyle w:val="Heading1"/>
        <w:pBdr>
          <w:bottom w:val="single" w:color="CBD5E1" w:sz="6" w:space="4"/>
        </w:pBdr>
        <w:spacing w:after="160" w:before="380"/>
      </w:pPr>
      <w:r>
        <w:rPr>
          <w:rFonts w:ascii="Manrope" w:cs="Manrope" w:eastAsia="Manrope" w:hAnsi="Manrope"/>
          <w:b/>
          <w:bCs/>
          <w:color w:val="0F172A"/>
          <w:sz w:val="27"/>
          <w:szCs w:val="27"/>
        </w:rPr>
        <w:t xml:space="preserve">Non-Negotiable Rules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The capacity figure shown publicly must always match actual current capacity — never leave a stale number live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Never fabricate testimonials, case studies, or statistics. Where none exist yet, the section is held back, not filled with placeholder content that looks real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The Takween Digital Services disclosure must be visible before an application is submitted — never fully hidden behind Terms alone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Honest feedback is required from every accepted business; a positive review is never required — reflected in the actual Terms and consent copy, not just implied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Never reuse a client's name, project or feedback publicly without the specific consent captured on the completion form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Never rewrite a testimonial to imply a client named “Takween Digital Services” if they only referenced the sub-brand — use their original wording, add context instead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The domain/hosting cost split — business pays for their own site's hosting, the free offer covers build only — must be stated before the application form, never discovered afterward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No API keys or secrets committed to GitHub, same rule as on all our projects</w:t>
      </w:r>
    </w:p>
    <w:p>
      <w:pPr>
        <w:pStyle w:val="Heading1"/>
        <w:pBdr>
          <w:bottom w:val="single" w:color="CBD5E1" w:sz="6" w:space="4"/>
        </w:pBdr>
        <w:spacing w:after="160" w:before="380"/>
      </w:pPr>
      <w:r>
        <w:rPr>
          <w:rFonts w:ascii="Manrope" w:cs="Manrope" w:eastAsia="Manrope" w:hAnsi="Manrope"/>
          <w:b/>
          <w:bCs/>
          <w:color w:val="0F172A"/>
          <w:sz w:val="27"/>
          <w:szCs w:val="27"/>
        </w:rPr>
        <w:t xml:space="preserve">Technical Requirements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Built in Next.js, matching the stack we use elsewhere — kept deliberately simple: no auth system, no payment integration on this site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Application submissions stored durably (database or spreadsheet-sync per the Data Model judgement call above) with an email notification to the team on each new submission, and a confirmation shown to the applicant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Form validation on every required field; basic spam protection (honeypot field and/or rate limiting is enough for this volume)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Responsive across mobile, tablet and desktop; keyboard-navigable with visible focus; accessible form labels and sufficient colour contrast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Analytics with cookie consent if used; standard on-page SEO (titles, meta descriptions, sitemap)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Code on GitHub, organised sensibly, with a reasonable commit history</w:t>
      </w:r>
    </w:p>
    <w:p>
      <w:pPr>
        <w:spacing w:after="120"/>
      </w:pPr>
    </w:p>
    <w:tbl>
      <w:tblPr>
        <w:tblW w:type="dxa" w:w="9800"/>
        <w:tblBorders>
          <w:top w:val="single" w:color="10B981" w:sz="6"/>
          <w:left w:val="single" w:color="10B981" w:sz="6"/>
          <w:bottom w:val="single" w:color="10B981" w:sz="6"/>
          <w:right w:val="single" w:color="10B981" w:sz="6"/>
          <w:insideH w:val="none" w:color="FFFFFF" w:sz="0"/>
          <w:insideV w:val="none" w:color="FFFFFF" w:sz="0"/>
        </w:tblBorders>
      </w:tblPr>
      <w:tblGrid>
        <w:gridCol w:w="9800"/>
      </w:tblGrid>
      <w:tr>
        <w:tc>
          <w:tcPr>
            <w:tcW w:type="dxa" w:w="9800"/>
            <w:shd w:fill="ECFD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Stack fluency: if you are not fluent in something specified here, say so before starting and propose the equivalent you know well — same override rule as our other briefs.</w:t>
            </w:r>
          </w:p>
          <w:p>
            <w:pPr>
              <w:spacing w:after="0" w:before="160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21"/>
                <w:szCs w:val="21"/>
              </w:rPr>
              <w:t xml:space="preserve">Open dependency: the sub-brand name, logo and final domain are not decided yet — referenced throughout this brief as [Halal Brand]. This does not block building the landing page or application system against a staging URL, but it does block Milestone 3 (launch). Flag early if it isn't resolved by the time you reach that milestone.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BD5E1" w:sz="6" w:space="4"/>
        </w:pBdr>
        <w:spacing w:after="160" w:before="380"/>
      </w:pPr>
      <w:r>
        <w:rPr>
          <w:rFonts w:ascii="Manrope" w:cs="Manrope" w:eastAsia="Manrope" w:hAnsi="Manrope"/>
          <w:b/>
          <w:bCs/>
          <w:color w:val="0F172A"/>
          <w:sz w:val="27"/>
          <w:szCs w:val="27"/>
        </w:rPr>
        <w:t xml:space="preserve">Build Order</w:t>
      </w:r>
    </w:p>
    <w:p>
      <w:pPr>
        <w:spacing w:after="90" w:before="220"/>
      </w:pPr>
      <w:r>
        <w:rPr>
          <w:rFonts w:ascii="Manrope" w:cs="Manrope" w:eastAsia="Manrope" w:hAnsi="Manrope"/>
          <w:b/>
          <w:bCs/>
          <w:color w:val="0F172A"/>
          <w:sz w:val="23"/>
          <w:szCs w:val="23"/>
        </w:rPr>
        <w:t xml:space="preserve">Milestone 1 — Landing page and Programme Terms</w:t>
      </w: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All sixteen landing sections and the fourteen Terms items, content matching this brief, responsive, no application backend yet. Acceptance: content matches this brief section by section; disclosure is visible on both pages; passes a basic mobile-friendliness check.</w:t>
      </w:r>
    </w:p>
    <w:p>
      <w:pPr>
        <w:spacing w:after="90" w:before="220"/>
      </w:pPr>
      <w:r>
        <w:rPr>
          <w:rFonts w:ascii="Manrope" w:cs="Manrope" w:eastAsia="Manrope" w:hAnsi="Manrope"/>
          <w:b/>
          <w:bCs/>
          <w:color w:val="0F172A"/>
          <w:sz w:val="23"/>
          <w:szCs w:val="23"/>
        </w:rPr>
        <w:t xml:space="preserve">Milestone 2 — Application system</w:t>
      </w: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The full form from the Data Model section, submission storage, team notification, applicant confirmation, validation and spam protection. Acceptance: a test submission appears wherever the team reviews from within a minute, required-field and consent validation work, and the applicant sees a clear confirmation.</w:t>
      </w:r>
    </w:p>
    <w:p>
      <w:pPr>
        <w:spacing w:after="90" w:before="220"/>
      </w:pPr>
      <w:r>
        <w:rPr>
          <w:rFonts w:ascii="Manrope" w:cs="Manrope" w:eastAsia="Manrope" w:hAnsi="Manrope"/>
          <w:b/>
          <w:bCs/>
          <w:color w:val="0F172A"/>
          <w:sz w:val="23"/>
          <w:szCs w:val="23"/>
        </w:rPr>
        <w:t xml:space="preserve">Milestone 3 — Launch readiness</w:t>
      </w: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Final domain and branding applied, analytics and cookie consent wired up, SEO basics in place, full pass against the Non-Negotiable Rules above. Acceptance: live on the agreed domain, every rule in this brief checked off.</w:t>
      </w:r>
    </w:p>
    <w:p>
      <w:pPr>
        <w:pStyle w:val="Heading1"/>
        <w:pBdr>
          <w:bottom w:val="single" w:color="CBD5E1" w:sz="6" w:space="4"/>
        </w:pBdr>
        <w:spacing w:after="160" w:before="380"/>
      </w:pPr>
      <w:r>
        <w:rPr>
          <w:rFonts w:ascii="Manrope" w:cs="Manrope" w:eastAsia="Manrope" w:hAnsi="Manrope"/>
          <w:b/>
          <w:bCs/>
          <w:color w:val="0F172A"/>
          <w:sz w:val="27"/>
          <w:szCs w:val="27"/>
        </w:rPr>
        <w:t xml:space="preserve">What to Submit</w:t>
      </w: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When you're ready to submit, complete a Submission for Review document with the fields below.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700"/>
        <w:gridCol w:w="2200"/>
        <w:gridCol w:w="6900"/>
      </w:tblGrid>
      <w:tr>
        <w:trPr>
          <w:tblHeader/>
        </w:trPr>
        <w:tc>
          <w:tcPr>
            <w:tcW w:type="dxa" w:w="700"/>
            <w:shd w:fill="0F172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0F172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00"/>
            <w:shd w:fill="0F172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What to include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Site access</w:t>
            </w:r>
          </w:p>
        </w:tc>
        <w:tc>
          <w:tcPr>
            <w:tcW w:type="dxa" w:w="69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Staging link for the landing page and Terms page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Content mapping</w:t>
            </w:r>
          </w:p>
        </w:tc>
        <w:tc>
          <w:tcPr>
            <w:tcW w:type="dxa" w:w="69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Confirmation each of the sixteen landing sections and the Terms page match this brief, noting any deviations and why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Application data access</w:t>
            </w:r>
          </w:p>
        </w:tc>
        <w:tc>
          <w:tcPr>
            <w:tcW w:type="dxa" w:w="69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Where submissions land and how I can view a test one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Disclosure placements</w:t>
            </w:r>
          </w:p>
        </w:tc>
        <w:tc>
          <w:tcPr>
            <w:tcW w:type="dxa" w:w="69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Confirm exactly where the Takween disclosure appears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69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Full URL, plus a link to recent commits or a brief summary of what each covers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Loom screen recording</w:t>
            </w:r>
          </w:p>
        </w:tc>
        <w:tc>
          <w:tcPr>
            <w:tcW w:type="dxa" w:w="69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2–4 minutes: the landing page, submitting a test application, and where it lands with the notification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What I Built</w:t>
            </w:r>
          </w:p>
        </w:tc>
        <w:tc>
          <w:tcPr>
            <w:tcW w:type="dxa" w:w="69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5 to 10 lines in plain English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Tools and libraries used, and why</w:t>
            </w:r>
          </w:p>
        </w:tc>
        <w:tc>
          <w:tcPr>
            <w:tcW w:type="dxa" w:w="69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List the main packages and explain your choices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Problems encountered</w:t>
            </w:r>
          </w:p>
        </w:tc>
        <w:tc>
          <w:tcPr>
            <w:tcW w:type="dxa" w:w="69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Any issues hit during the build and how you resolved them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How to test the project</w:t>
            </w:r>
          </w:p>
        </w:tc>
        <w:tc>
          <w:tcPr>
            <w:tcW w:type="dxa" w:w="69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Step-by-step instructions, including a safe way to submit a test application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Known limitations</w:t>
            </w:r>
          </w:p>
        </w:tc>
        <w:tc>
          <w:tcPr>
            <w:tcW w:type="dxa" w:w="69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Anything that doesn't work perfectly, or that you'd improve with more time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Submission date</w:t>
            </w:r>
          </w:p>
        </w:tc>
        <w:tc>
          <w:tcPr>
            <w:tcW w:type="dxa" w:w="69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The date you're submitting this project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BD5E1" w:sz="6" w:space="4"/>
        </w:pBdr>
        <w:spacing w:after="160" w:before="380"/>
      </w:pPr>
      <w:r>
        <w:rPr>
          <w:rFonts w:ascii="Manrope" w:cs="Manrope" w:eastAsia="Manrope" w:hAnsi="Manrope"/>
          <w:b/>
          <w:bCs/>
          <w:color w:val="0F172A"/>
          <w:sz w:val="27"/>
          <w:szCs w:val="27"/>
        </w:rPr>
        <w:t xml:space="preserve">QA Review Criteria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700"/>
        <w:gridCol w:w="9100"/>
      </w:tblGrid>
      <w:tr>
        <w:trPr>
          <w:tblHeader/>
        </w:trPr>
        <w:tc>
          <w:tcPr>
            <w:tcW w:type="dxa" w:w="700"/>
            <w:shd w:fill="0F172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100"/>
            <w:shd w:fill="0F172A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Review Point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91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Does the hero clearly state the £0-build / hosting-is-separate line before any scrolling is needed?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91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Is the Takween Digital Services disclosure visible somewhere before the application is submitted?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91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Does the application form capture every field this brief specifies, with required consent checkboxes?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91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Are all sixteen landing sections present and matching this brief — including credentials, social links and menu where relevant?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91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Does the capacity figure shown match the agreed decision, stored as one editable value?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91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Is the “what's excluded” list visible on the landing page itself, not only in Terms?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91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Does a test submission actually arrive where the team can see it, with a confirmation shown to the applicant?</w:t>
            </w:r>
          </w:p>
        </w:tc>
      </w:tr>
      <w:tr>
        <w:tc>
          <w:tcPr>
            <w:tcW w:type="dxa" w:w="7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9100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color w:val="111827"/>
                <w:sz w:val="19"/>
                <w:szCs w:val="19"/>
              </w:rPr>
              <w:t xml:space="preserve">Is the code on GitHub, sensibly organised, and installable/testable without needing personal accounts?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BD5E1" w:sz="6" w:space="4"/>
        </w:pBdr>
        <w:spacing w:after="160" w:before="380"/>
      </w:pPr>
      <w:r>
        <w:rPr>
          <w:rFonts w:ascii="Manrope" w:cs="Manrope" w:eastAsia="Manrope" w:hAnsi="Manrope"/>
          <w:b/>
          <w:bCs/>
          <w:color w:val="0F172A"/>
          <w:sz w:val="27"/>
          <w:szCs w:val="27"/>
        </w:rPr>
        <w:t xml:space="preserve">Final Note</w:t>
      </w:r>
    </w:p>
    <w:p>
      <w:pPr>
        <w:spacing w:after="160" w:line="276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The two most important things here are the same honesty the strategy document is built around — a real capacity number, a real disclosure, no invented proof — and an application form that actually captures what the team needs to make a fair decision. Get these right and the rest follows.</w:t>
      </w:r>
    </w:p>
    <w:sectPr>
      <w:pgSz w:w="11906" w:h="16838" w:orient="portrait"/>
      <w:pgMar w:top="1050" w:right="1050" w:bottom="10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2026-09-03T16:04:02.037Z</dcterms:created>
  <dcterms:modified xsi:type="dcterms:W3CDTF">2026-09-03T16:04:02.037Z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