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Manrope" w:cs="Manrope" w:eastAsia="Manrope" w:hAnsi="Manrope"/>
          <w:b/>
          <w:bCs/>
          <w:color w:val="0F172A"/>
          <w:sz w:val="44"/>
          <w:szCs w:val="44"/>
        </w:rPr>
        <w:t xml:space="preserve">AcePharm App</w:t>
      </w:r>
    </w:p>
    <w:p>
      <w:pPr>
        <w:spacing w:after="260"/>
      </w:pPr>
      <w:r>
        <w:rPr>
          <w:rFonts w:ascii="Inter" w:cs="Inter" w:eastAsia="Inter" w:hAnsi="Inter"/>
          <w:i/>
          <w:iCs/>
          <w:color w:val="111827"/>
          <w:sz w:val="22"/>
          <w:szCs w:val="22"/>
        </w:rPr>
        <w:t xml:space="preserve">Build a companion mobile app for AcePharm, for iOS and Android, using Flutter</w:t>
      </w:r>
    </w:p>
    <w:tbl>
      <w:tblPr>
        <w:tblW w:type="dxa" w:w="9800"/>
        <w:tblBorders>
          <w:top w:val="single" w:color="CBD5E1" w:sz="4"/>
          <w:left w:val="single" w:color="CBD5E1" w:sz="4"/>
          <w:bottom w:val="single" w:color="CBD5E1" w:sz="4"/>
          <w:right w:val="single" w:color="CBD5E1" w:sz="4"/>
          <w:insideH w:val="single" w:color="CBD5E1" w:sz="4"/>
          <w:insideV w:val="single" w:color="CBD5E1" w:sz="4"/>
        </w:tblBorders>
      </w:tblPr>
      <w:tblGrid>
        <w:gridCol w:w="2600"/>
        <w:gridCol w:w="7200"/>
      </w:tblGrid>
      <w:tr>
        <w:tc>
          <w:tcPr>
            <w:tcW w:type="dxa" w:w="2600"/>
            <w:shd w:fill="F1F5F9" w:color="auto" w:val="clear"/>
            <w:tcMar>
              <w:top w:type="dxa" w:w="110"/>
              <w:left w:type="dxa" w:w="160"/>
              <w:bottom w:type="dxa" w:w="110"/>
              <w:right w:type="dxa" w:w="160"/>
            </w:tcMar>
            <w:vAlign w:val="center"/>
          </w:tcPr>
          <w:p>
            <w:pPr>
              <w:spacing w:after="0" w:line="252"/>
            </w:pPr>
            <w:r>
              <w:rPr>
                <w:rFonts w:ascii="Inter" w:cs="Inter" w:eastAsia="Inter" w:hAnsi="Inter"/>
                <w:b/>
                <w:bCs/>
                <w:color w:val="0F172A"/>
                <w:sz w:val="20"/>
                <w:szCs w:val="20"/>
              </w:rPr>
              <w:t xml:space="preserve">Prepared for</w:t>
            </w:r>
          </w:p>
        </w:tc>
        <w:tc>
          <w:tcPr>
            <w:tcW w:type="dxa" w:w="7200"/>
            <w:tcMar>
              <w:top w:type="dxa" w:w="110"/>
              <w:left w:type="dxa" w:w="160"/>
              <w:bottom w:type="dxa" w:w="110"/>
              <w:right w:type="dxa" w:w="160"/>
            </w:tcMar>
            <w:vAlign w:val="center"/>
          </w:tcPr>
          <w:p>
            <w:pPr>
              <w:spacing w:after="0" w:line="252"/>
            </w:pPr>
            <w:r>
              <w:rPr>
                <w:rFonts w:ascii="Inter" w:cs="Inter" w:eastAsia="Inter" w:hAnsi="Inter"/>
                <w:b w:val="false"/>
                <w:bCs w:val="false"/>
                <w:color w:val="111827"/>
                <w:sz w:val="20"/>
                <w:szCs w:val="20"/>
              </w:rPr>
              <w:t xml:space="preserve">Muhammad Numan Latif</w:t>
            </w:r>
          </w:p>
        </w:tc>
      </w:tr>
      <w:tr>
        <w:tc>
          <w:tcPr>
            <w:tcW w:type="dxa" w:w="2600"/>
            <w:shd w:fill="F1F5F9" w:color="auto" w:val="clear"/>
            <w:tcMar>
              <w:top w:type="dxa" w:w="110"/>
              <w:left w:type="dxa" w:w="160"/>
              <w:bottom w:type="dxa" w:w="110"/>
              <w:right w:type="dxa" w:w="160"/>
            </w:tcMar>
            <w:vAlign w:val="center"/>
          </w:tcPr>
          <w:p>
            <w:pPr>
              <w:spacing w:after="0" w:line="252"/>
            </w:pPr>
            <w:r>
              <w:rPr>
                <w:rFonts w:ascii="Inter" w:cs="Inter" w:eastAsia="Inter" w:hAnsi="Inter"/>
                <w:b/>
                <w:bCs/>
                <w:color w:val="0F172A"/>
                <w:sz w:val="20"/>
                <w:szCs w:val="20"/>
              </w:rPr>
              <w:t xml:space="preserve">Project type</w:t>
            </w:r>
          </w:p>
        </w:tc>
        <w:tc>
          <w:tcPr>
            <w:tcW w:type="dxa" w:w="7200"/>
            <w:tcMar>
              <w:top w:type="dxa" w:w="110"/>
              <w:left w:type="dxa" w:w="160"/>
              <w:bottom w:type="dxa" w:w="110"/>
              <w:right w:type="dxa" w:w="160"/>
            </w:tcMar>
            <w:vAlign w:val="center"/>
          </w:tcPr>
          <w:p>
            <w:pPr>
              <w:spacing w:after="0" w:line="252"/>
            </w:pPr>
            <w:r>
              <w:rPr>
                <w:rFonts w:ascii="Inter" w:cs="Inter" w:eastAsia="Inter" w:hAnsi="Inter"/>
                <w:b w:val="false"/>
                <w:bCs w:val="false"/>
                <w:color w:val="111827"/>
                <w:sz w:val="20"/>
                <w:szCs w:val="20"/>
              </w:rPr>
              <w:t xml:space="preserve">Forward planning — not yet an active build. Prepared ahead of need, sequenced behind the AcePharm web platform</w:t>
            </w:r>
          </w:p>
        </w:tc>
      </w:tr>
      <w:tr>
        <w:tc>
          <w:tcPr>
            <w:tcW w:type="dxa" w:w="2600"/>
            <w:shd w:fill="F1F5F9" w:color="auto" w:val="clear"/>
            <w:tcMar>
              <w:top w:type="dxa" w:w="110"/>
              <w:left w:type="dxa" w:w="160"/>
              <w:bottom w:type="dxa" w:w="110"/>
              <w:right w:type="dxa" w:w="160"/>
            </w:tcMar>
            <w:vAlign w:val="center"/>
          </w:tcPr>
          <w:p>
            <w:pPr>
              <w:spacing w:after="0" w:line="252"/>
            </w:pPr>
            <w:r>
              <w:rPr>
                <w:rFonts w:ascii="Inter" w:cs="Inter" w:eastAsia="Inter" w:hAnsi="Inter"/>
                <w:b/>
                <w:bCs/>
                <w:color w:val="0F172A"/>
                <w:sz w:val="20"/>
                <w:szCs w:val="20"/>
              </w:rPr>
              <w:t xml:space="preserve">Reference product</w:t>
            </w:r>
          </w:p>
        </w:tc>
        <w:tc>
          <w:tcPr>
            <w:tcW w:type="dxa" w:w="7200"/>
            <w:tcMar>
              <w:top w:type="dxa" w:w="110"/>
              <w:left w:type="dxa" w:w="160"/>
              <w:bottom w:type="dxa" w:w="110"/>
              <w:right w:type="dxa" w:w="160"/>
            </w:tcMar>
            <w:vAlign w:val="center"/>
          </w:tcPr>
          <w:p>
            <w:pPr>
              <w:spacing w:after="0" w:line="252"/>
            </w:pPr>
            <w:r>
              <w:rPr>
                <w:rFonts w:ascii="Inter" w:cs="Inter" w:eastAsia="Inter" w:hAnsi="Inter"/>
                <w:b w:val="false"/>
                <w:bCs w:val="false"/>
                <w:color w:val="111827"/>
                <w:sz w:val="20"/>
                <w:szCs w:val="20"/>
              </w:rPr>
              <w:t xml:space="preserve">AcePharm Developer Brief v2.1, Website Copy v2.0, and the interactive HTML prototype — the web platform itself is still mid-build, not live</w:t>
            </w:r>
          </w:p>
        </w:tc>
      </w:tr>
      <w:tr>
        <w:tc>
          <w:tcPr>
            <w:tcW w:type="dxa" w:w="2600"/>
            <w:shd w:fill="F1F5F9" w:color="auto" w:val="clear"/>
            <w:tcMar>
              <w:top w:type="dxa" w:w="110"/>
              <w:left w:type="dxa" w:w="160"/>
              <w:bottom w:type="dxa" w:w="110"/>
              <w:right w:type="dxa" w:w="160"/>
            </w:tcMar>
            <w:vAlign w:val="center"/>
          </w:tcPr>
          <w:p>
            <w:pPr>
              <w:spacing w:after="0" w:line="252"/>
            </w:pPr>
            <w:r>
              <w:rPr>
                <w:rFonts w:ascii="Inter" w:cs="Inter" w:eastAsia="Inter" w:hAnsi="Inter"/>
                <w:b/>
                <w:bCs/>
                <w:color w:val="0F172A"/>
                <w:sz w:val="20"/>
                <w:szCs w:val="20"/>
              </w:rPr>
              <w:t xml:space="preserve">Stack</w:t>
            </w:r>
          </w:p>
        </w:tc>
        <w:tc>
          <w:tcPr>
            <w:tcW w:type="dxa" w:w="7200"/>
            <w:tcMar>
              <w:top w:type="dxa" w:w="110"/>
              <w:left w:type="dxa" w:w="160"/>
              <w:bottom w:type="dxa" w:w="110"/>
              <w:right w:type="dxa" w:w="160"/>
            </w:tcMar>
            <w:vAlign w:val="center"/>
          </w:tcPr>
          <w:p>
            <w:pPr>
              <w:spacing w:after="0" w:line="252"/>
            </w:pPr>
            <w:r>
              <w:rPr>
                <w:rFonts w:ascii="Inter" w:cs="Inter" w:eastAsia="Inter" w:hAnsi="Inter"/>
                <w:b w:val="false"/>
                <w:bCs w:val="false"/>
                <w:color w:val="111827"/>
                <w:sz w:val="20"/>
                <w:szCs w:val="20"/>
              </w:rPr>
              <w:t xml:space="preserve">Flutter / Dart — cross-platform iOS &amp; Android, calling the same backend the web platform exposes</w:t>
            </w:r>
          </w:p>
        </w:tc>
      </w:tr>
      <w:tr>
        <w:tc>
          <w:tcPr>
            <w:tcW w:type="dxa" w:w="2600"/>
            <w:shd w:fill="F1F5F9" w:color="auto" w:val="clear"/>
            <w:tcMar>
              <w:top w:type="dxa" w:w="110"/>
              <w:left w:type="dxa" w:w="160"/>
              <w:bottom w:type="dxa" w:w="110"/>
              <w:right w:type="dxa" w:w="160"/>
            </w:tcMar>
            <w:vAlign w:val="center"/>
          </w:tcPr>
          <w:p>
            <w:pPr>
              <w:spacing w:after="0" w:line="252"/>
            </w:pPr>
            <w:r>
              <w:rPr>
                <w:rFonts w:ascii="Inter" w:cs="Inter" w:eastAsia="Inter" w:hAnsi="Inter"/>
                <w:b/>
                <w:bCs/>
                <w:color w:val="0F172A"/>
                <w:sz w:val="20"/>
                <w:szCs w:val="20"/>
              </w:rPr>
              <w:t xml:space="preserve">Core feature</w:t>
            </w:r>
          </w:p>
        </w:tc>
        <w:tc>
          <w:tcPr>
            <w:tcW w:type="dxa" w:w="7200"/>
            <w:tcMar>
              <w:top w:type="dxa" w:w="110"/>
              <w:left w:type="dxa" w:w="160"/>
              <w:bottom w:type="dxa" w:w="110"/>
              <w:right w:type="dxa" w:w="160"/>
            </w:tcMar>
            <w:vAlign w:val="center"/>
          </w:tcPr>
          <w:p>
            <w:pPr>
              <w:spacing w:after="0" w:line="252"/>
            </w:pPr>
            <w:r>
              <w:rPr>
                <w:rFonts w:ascii="Inter" w:cs="Inter" w:eastAsia="Inter" w:hAnsi="Inter"/>
                <w:b w:val="false"/>
                <w:bCs w:val="false"/>
                <w:color w:val="111827"/>
                <w:sz w:val="20"/>
                <w:szCs w:val="20"/>
              </w:rPr>
              <w:t xml:space="preserve">Question practice on the go — session builder, Learn and Timed modes, full explanations, and progress</w:t>
            </w:r>
          </w:p>
        </w:tc>
      </w:tr>
      <w:tr>
        <w:tc>
          <w:tcPr>
            <w:tcW w:type="dxa" w:w="2600"/>
            <w:shd w:fill="F1F5F9" w:color="auto" w:val="clear"/>
            <w:tcMar>
              <w:top w:type="dxa" w:w="110"/>
              <w:left w:type="dxa" w:w="160"/>
              <w:bottom w:type="dxa" w:w="110"/>
              <w:right w:type="dxa" w:w="160"/>
            </w:tcMar>
            <w:vAlign w:val="center"/>
          </w:tcPr>
          <w:p>
            <w:pPr>
              <w:spacing w:after="0" w:line="252"/>
            </w:pPr>
            <w:r>
              <w:rPr>
                <w:rFonts w:ascii="Inter" w:cs="Inter" w:eastAsia="Inter" w:hAnsi="Inter"/>
                <w:b/>
                <w:bCs/>
                <w:color w:val="0F172A"/>
                <w:sz w:val="20"/>
                <w:szCs w:val="20"/>
              </w:rPr>
              <w:t xml:space="preserve">Distribution (QA phase)</w:t>
            </w:r>
          </w:p>
        </w:tc>
        <w:tc>
          <w:tcPr>
            <w:tcW w:type="dxa" w:w="7200"/>
            <w:tcMar>
              <w:top w:type="dxa" w:w="110"/>
              <w:left w:type="dxa" w:w="160"/>
              <w:bottom w:type="dxa" w:w="110"/>
              <w:right w:type="dxa" w:w="160"/>
            </w:tcMar>
            <w:vAlign w:val="center"/>
          </w:tcPr>
          <w:p>
            <w:pPr>
              <w:spacing w:after="0" w:line="252"/>
            </w:pPr>
            <w:r>
              <w:rPr>
                <w:rFonts w:ascii="Inter" w:cs="Inter" w:eastAsia="Inter" w:hAnsi="Inter"/>
                <w:b w:val="false"/>
                <w:bCs w:val="false"/>
                <w:color w:val="111827"/>
                <w:sz w:val="20"/>
                <w:szCs w:val="20"/>
              </w:rPr>
              <w:t xml:space="preserve">Google Play Console (Android publisher account exists — confirm the pending organisation website-verification step is cleared) and Apple TestFlight (Apple Developer Program account still to be set up)</w:t>
            </w:r>
          </w:p>
        </w:tc>
      </w:tr>
    </w:tbl>
    <w:p>
      <w:pPr>
        <w:spacing w:after="240"/>
      </w:pPr>
    </w:p>
    <w:p>
      <w:pPr>
        <w:pStyle w:val="Heading1"/>
        <w:pBdr>
          <w:bottom w:val="single" w:color="CBD5E1" w:sz="6" w:space="4"/>
        </w:pBdr>
        <w:spacing w:after="160" w:before="380"/>
      </w:pPr>
      <w:r>
        <w:rPr>
          <w:rFonts w:ascii="Manrope" w:cs="Manrope" w:eastAsia="Manrope" w:hAnsi="Manrope"/>
          <w:b/>
          <w:bCs/>
          <w:color w:val="0F172A"/>
          <w:sz w:val="27"/>
          <w:szCs w:val="27"/>
        </w:rPr>
        <w:t xml:space="preserve">Purpose</w:t>
      </w:r>
    </w:p>
    <w:p>
      <w:pPr>
        <w:spacing w:after="160" w:line="276"/>
      </w:pPr>
      <w:r>
        <w:rPr>
          <w:rFonts w:ascii="Inter" w:cs="Inter" w:eastAsia="Inter" w:hAnsi="Inter"/>
          <w:color w:val="111827"/>
          <w:sz w:val="21"/>
          <w:szCs w:val="21"/>
        </w:rPr>
        <w:t xml:space="preserve">AcePharm is a revision platform for UK pharmacy students — pharmacy-specific questions, reviewed explanations and progress analytics, with Ace (an AI tutor grounded in AcePharm’s own reviewed content) sitting across the product. It is currently being built as a responsive web platform by Numan, in seven milestones, against the AcePharm Developer Brief v2.1.</w:t>
      </w:r>
    </w:p>
    <w:p>
      <w:pPr>
        <w:spacing w:after="160" w:line="276"/>
      </w:pPr>
      <w:r>
        <w:rPr>
          <w:rFonts w:ascii="Inter" w:cs="Inter" w:eastAsia="Inter" w:hAnsi="Inter"/>
          <w:color w:val="111827"/>
          <w:sz w:val="21"/>
          <w:szCs w:val="21"/>
        </w:rPr>
        <w:t xml:space="preserve">This brief is genuinely new scope, not an extension of what has already been approved. Section 2.2 of the Developer Brief lists “Native apps, PWA, offline mode” under Not in scope, with the note “Responsive web only.” That was a deliberate decision, the same kind of deliberate call as deferring mock exams or badges. Worth a quick nod from Daniyal before this becomes a live assignment — partly because it changes agreed scope, and partly because Numan is already carrying the full seven-milestone web build on his own.</w:t>
      </w:r>
    </w:p>
    <w:p>
      <w:pPr>
        <w:spacing w:after="160" w:line="276"/>
      </w:pPr>
      <w:r>
        <w:rPr>
          <w:rFonts w:ascii="Inter" w:cs="Inter" w:eastAsia="Inter" w:hAnsi="Inter"/>
          <w:color w:val="111827"/>
          <w:sz w:val="21"/>
          <w:szCs w:val="21"/>
        </w:rPr>
        <w:t xml:space="preserve">It also cannot start yet in any functional sense. The mobile app would call the same backend the web platform exposes, and that backend does not exist until the web build reaches it — realistically, not before Milestone 3 (the question engine) ships, and ideally after Milestone 4 (dashboard and progress) too, since between them those milestones define the exact data a mobile client would need. Building mobile-specific backend work in parallel would just duplicate what the web build is already doing.</w:t>
      </w:r>
    </w:p>
    <w:p>
      <w:pPr>
        <w:pStyle w:val="Heading1"/>
        <w:pBdr>
          <w:bottom w:val="single" w:color="CBD5E1" w:sz="6" w:space="4"/>
        </w:pBdr>
        <w:spacing w:after="160" w:before="380"/>
      </w:pPr>
      <w:r>
        <w:rPr>
          <w:rFonts w:ascii="Manrope" w:cs="Manrope" w:eastAsia="Manrope" w:hAnsi="Manrope"/>
          <w:b/>
          <w:bCs/>
          <w:color w:val="0F172A"/>
          <w:sz w:val="27"/>
          <w:szCs w:val="27"/>
        </w:rPr>
        <w:t xml:space="preserve">Design &amp; UI — Match the Existing Spec</w:t>
      </w:r>
    </w:p>
    <w:tbl>
      <w:tblPr>
        <w:tblW w:type="dxa" w:w="9800"/>
        <w:tblBorders>
          <w:top w:val="single" w:color="10B981" w:sz="6"/>
          <w:left w:val="single" w:color="10B981" w:sz="6"/>
          <w:bottom w:val="single" w:color="10B981" w:sz="6"/>
          <w:right w:val="single" w:color="10B981" w:sz="6"/>
          <w:insideH w:val="none" w:color="FFFFFF" w:sz="0"/>
          <w:insideV w:val="none" w:color="FFFFFF" w:sz="0"/>
        </w:tblBorders>
      </w:tblPr>
      <w:tblGrid>
        <w:gridCol w:w="9800"/>
      </w:tblGrid>
      <w:tr>
        <w:tc>
          <w:tcPr>
            <w:tcW w:type="dxa" w:w="9800"/>
            <w:shd w:fill="ECFDF5" w:color="auto" w:val="clear"/>
            <w:tcMar>
              <w:top w:type="dxa" w:w="200"/>
              <w:left w:type="dxa" w:w="220"/>
              <w:bottom w:type="dxa" w:w="200"/>
              <w:right w:type="dxa" w:w="220"/>
            </w:tcMar>
          </w:tcPr>
          <w:p>
            <w:pPr>
              <w:spacing w:after="0" w:before="0"/>
            </w:pPr>
            <w:r>
              <w:rPr>
                <w:rFonts w:ascii="Inter" w:cs="Inter" w:eastAsia="Inter" w:hAnsi="Inter"/>
                <w:b w:val="false"/>
                <w:bCs w:val="false"/>
                <w:color w:val="111827"/>
                <w:sz w:val="21"/>
                <w:szCs w:val="21"/>
              </w:rPr>
              <w:t xml:space="preserve">There is no live AcePharm site to point to yet, so the north star here is different from both previous apps: use the interactive prototype, the design tokens in Section 3.3 of the Developer Brief, and the Website Copy document as the source of truth, not your own judgement and not a live page.</w:t>
            </w:r>
          </w:p>
          <w:p>
            <w:pPr>
              <w:spacing w:after="0" w:before="160"/>
            </w:pPr>
            <w:r>
              <w:rPr>
                <w:rFonts w:ascii="Inter" w:cs="Inter" w:eastAsia="Inter" w:hAnsi="Inter"/>
                <w:b w:val="false"/>
                <w:bCs w:val="false"/>
                <w:color w:val="111827"/>
                <w:sz w:val="21"/>
                <w:szCs w:val="21"/>
              </w:rPr>
              <w:t xml:space="preserve">Section 3.3 in short: Ace Indigo #4F46E5 as the primary colour, Ink #111827 and Slate #64748B for text, Geist Sans for interface text and Geist Mono for formulas, working and question IDs, an 8-point spacing system, borders rather than shadows on most cards, and a 44×44px minimum touch target. Translate these into your Flutter theme directly rather than approximating them.</w:t>
            </w:r>
          </w:p>
          <w:p>
            <w:pPr>
              <w:spacing w:after="0" w:before="160"/>
            </w:pPr>
            <w:r>
              <w:rPr>
                <w:rFonts w:ascii="Inter" w:cs="Inter" w:eastAsia="Inter" w:hAnsi="Inter"/>
                <w:b w:val="false"/>
                <w:bCs w:val="false"/>
                <w:color w:val="111827"/>
                <w:sz w:val="21"/>
                <w:szCs w:val="21"/>
              </w:rPr>
              <w:t xml:space="preserve">Every product rule in Sections 5 and 6 of the Developer Brief — confidence captured before submission, no colour before submission, every incorrect option getting its own rationale, “AcePharm Clinical Editorial Team” rather than a named reviewer — applies identically on mobile. This is not a lighter or simplified product; it is the same product on a smaller screen.</w:t>
            </w:r>
          </w:p>
        </w:tc>
      </w:tr>
    </w:tbl>
    <w:p>
      <w:pPr>
        <w:spacing w:after="200"/>
      </w:pPr>
    </w:p>
    <w:p>
      <w:pPr>
        <w:pStyle w:val="Heading1"/>
        <w:pBdr>
          <w:bottom w:val="single" w:color="CBD5E1" w:sz="6" w:space="4"/>
        </w:pBdr>
        <w:spacing w:after="160" w:before="380"/>
      </w:pPr>
      <w:r>
        <w:rPr>
          <w:rFonts w:ascii="Manrope" w:cs="Manrope" w:eastAsia="Manrope" w:hAnsi="Manrope"/>
          <w:b/>
          <w:bCs/>
          <w:color w:val="0F172A"/>
          <w:sz w:val="27"/>
          <w:szCs w:val="27"/>
        </w:rPr>
        <w:t xml:space="preserve">What to Build</w:t>
      </w:r>
    </w:p>
    <w:p>
      <w:pPr>
        <w:spacing w:after="90" w:before="220"/>
      </w:pPr>
      <w:r>
        <w:rPr>
          <w:rFonts w:ascii="Manrope" w:cs="Manrope" w:eastAsia="Manrope" w:hAnsi="Manrope"/>
          <w:b/>
          <w:bCs/>
          <w:color w:val="0F172A"/>
          <w:sz w:val="23"/>
          <w:szCs w:val="23"/>
        </w:rPr>
        <w:t xml:space="preserve">Account &amp; Onboarding</w:t>
      </w:r>
    </w:p>
    <w:p>
      <w:pPr>
        <w:pStyle w:val="ListParagraph"/>
        <w:numPr>
          <w:ilvl w:val="0"/>
          <w:numId w:val="2"/>
        </w:numPr>
        <w:spacing w:after="90" w:line="264"/>
      </w:pPr>
      <w:r>
        <w:rPr>
          <w:rFonts w:ascii="Inter" w:cs="Inter" w:eastAsia="Inter" w:hAnsi="Inter"/>
          <w:color w:val="111827"/>
          <w:sz w:val="21"/>
          <w:szCs w:val="21"/>
        </w:rPr>
        <w:t xml:space="preserve">Sign up, email verification, log in, password reset — the same accounts as the web platform (Auth.js, credentials plus magic link; no third-party auth vendor)</w:t>
      </w:r>
    </w:p>
    <w:p>
      <w:pPr>
        <w:pStyle w:val="ListParagraph"/>
        <w:numPr>
          <w:ilvl w:val="0"/>
          <w:numId w:val="2"/>
        </w:numPr>
        <w:spacing w:after="90" w:line="264"/>
      </w:pPr>
      <w:r>
        <w:rPr>
          <w:rFonts w:ascii="Inter" w:cs="Inter" w:eastAsia="Inter" w:hAnsi="Inter"/>
          <w:color w:val="111827"/>
          <w:sz w:val="21"/>
          <w:szCs w:val="21"/>
        </w:rPr>
        <w:t xml:space="preserve">The 5-step onboarding from the Website Copy document (stage, goal, assessment date, daily target, university)</w:t>
      </w:r>
    </w:p>
    <w:p>
      <w:pPr>
        <w:spacing w:after="90" w:before="220"/>
      </w:pPr>
      <w:r>
        <w:rPr>
          <w:rFonts w:ascii="Manrope" w:cs="Manrope" w:eastAsia="Manrope" w:hAnsi="Manrope"/>
          <w:b/>
          <w:bCs/>
          <w:color w:val="0F172A"/>
          <w:sz w:val="23"/>
          <w:szCs w:val="23"/>
        </w:rPr>
        <w:t xml:space="preserve">Dashboard</w:t>
      </w:r>
    </w:p>
    <w:p>
      <w:pPr>
        <w:pStyle w:val="ListParagraph"/>
        <w:numPr>
          <w:ilvl w:val="0"/>
          <w:numId w:val="2"/>
        </w:numPr>
        <w:spacing w:after="90" w:line="264"/>
      </w:pPr>
      <w:r>
        <w:rPr>
          <w:rFonts w:ascii="Inter" w:cs="Inter" w:eastAsia="Inter" w:hAnsi="Inter"/>
          <w:color w:val="111827"/>
          <w:sz w:val="21"/>
          <w:szCs w:val="21"/>
        </w:rPr>
        <w:t xml:space="preserve">Recommended next session with a visible reason (never a recommendation that cannot explain itself), daily goal, weekly Ace insight, and subscription status</w:t>
      </w:r>
    </w:p>
    <w:p>
      <w:pPr>
        <w:spacing w:after="90" w:before="220"/>
      </w:pPr>
      <w:r>
        <w:rPr>
          <w:rFonts w:ascii="Manrope" w:cs="Manrope" w:eastAsia="Manrope" w:hAnsi="Manrope"/>
          <w:b/>
          <w:bCs/>
          <w:color w:val="0F172A"/>
          <w:sz w:val="23"/>
          <w:szCs w:val="23"/>
        </w:rPr>
        <w:t xml:space="preserve">Session Builder &amp; Question Practice (the core feature)</w:t>
      </w:r>
    </w:p>
    <w:p>
      <w:pPr>
        <w:pStyle w:val="ListParagraph"/>
        <w:numPr>
          <w:ilvl w:val="0"/>
          <w:numId w:val="2"/>
        </w:numPr>
        <w:spacing w:after="90" w:line="264"/>
      </w:pPr>
      <w:r>
        <w:rPr>
          <w:rFonts w:ascii="Inter" w:cs="Inter" w:eastAsia="Inter" w:hAnsi="Inter"/>
          <w:color w:val="111827"/>
          <w:sz w:val="21"/>
          <w:szCs w:val="21"/>
        </w:rPr>
        <w:t xml:space="preserve">Pathway, topic, difficulty and mode (Learn, Timed) selection, mirroring the web session builder</w:t>
      </w:r>
    </w:p>
    <w:p>
      <w:pPr>
        <w:pStyle w:val="ListParagraph"/>
        <w:numPr>
          <w:ilvl w:val="0"/>
          <w:numId w:val="2"/>
        </w:numPr>
        <w:spacing w:after="90" w:line="264"/>
      </w:pPr>
      <w:r>
        <w:rPr>
          <w:rFonts w:ascii="Inter" w:cs="Inter" w:eastAsia="Inter" w:hAnsi="Inter"/>
          <w:color w:val="111827"/>
          <w:sz w:val="21"/>
          <w:szCs w:val="21"/>
        </w:rPr>
        <w:t xml:space="preserve">Question screen: confidence rating captured before submission and able to be turned off in settings, no colour signal before submission, an icon and text label alongside colour afterwards, no auto-advance</w:t>
      </w:r>
    </w:p>
    <w:p>
      <w:pPr>
        <w:pStyle w:val="ListParagraph"/>
        <w:numPr>
          <w:ilvl w:val="0"/>
          <w:numId w:val="2"/>
        </w:numPr>
        <w:spacing w:after="90" w:line="264"/>
      </w:pPr>
      <w:r>
        <w:rPr>
          <w:rFonts w:ascii="Inter" w:cs="Inter" w:eastAsia="Inter" w:hAnsi="Inter"/>
          <w:color w:val="111827"/>
          <w:sz w:val="21"/>
          <w:szCs w:val="21"/>
        </w:rPr>
        <w:t xml:space="preserve">Full explanation layout including subtopic notes, a rationale for every incorrect option individually, and “AcePharm Clinical Editorial Team” attribution</w:t>
      </w:r>
    </w:p>
    <w:p>
      <w:pPr>
        <w:pStyle w:val="ListParagraph"/>
        <w:numPr>
          <w:ilvl w:val="0"/>
          <w:numId w:val="2"/>
        </w:numPr>
        <w:spacing w:after="90" w:line="264"/>
      </w:pPr>
      <w:r>
        <w:rPr>
          <w:rFonts w:ascii="Inter" w:cs="Inter" w:eastAsia="Inter" w:hAnsi="Inter"/>
          <w:color w:val="111827"/>
          <w:sz w:val="21"/>
          <w:szCs w:val="21"/>
        </w:rPr>
        <w:t xml:space="preserve">Bookmarks, notes, report-a-question, hide-options mode (a per-user setting, not per-question), and a session summary</w:t>
      </w:r>
    </w:p>
    <w:p>
      <w:pPr>
        <w:spacing w:after="90" w:before="220"/>
      </w:pPr>
      <w:r>
        <w:rPr>
          <w:rFonts w:ascii="Manrope" w:cs="Manrope" w:eastAsia="Manrope" w:hAnsi="Manrope"/>
          <w:b/>
          <w:bCs/>
          <w:color w:val="0F172A"/>
          <w:sz w:val="23"/>
          <w:szCs w:val="23"/>
        </w:rPr>
        <w:t xml:space="preserve">Progress</w:t>
      </w:r>
    </w:p>
    <w:p>
      <w:pPr>
        <w:pStyle w:val="ListParagraph"/>
        <w:numPr>
          <w:ilvl w:val="0"/>
          <w:numId w:val="2"/>
        </w:numPr>
        <w:spacing w:after="90" w:line="264"/>
      </w:pPr>
      <w:r>
        <w:rPr>
          <w:rFonts w:ascii="Inter" w:cs="Inter" w:eastAsia="Inter" w:hAnsi="Inter"/>
          <w:color w:val="111827"/>
          <w:sz w:val="21"/>
          <w:szCs w:val="21"/>
        </w:rPr>
        <w:t xml:space="preserve">The five metrics kept visibly distinct — first-attempt accuracy, practice accuracy, repeat accuracy, confidence calibration, coverage — never collapsed into one score, with first-attempt accuracy the most prominent</w:t>
      </w:r>
    </w:p>
    <w:p>
      <w:pPr>
        <w:pStyle w:val="ListParagraph"/>
        <w:numPr>
          <w:ilvl w:val="0"/>
          <w:numId w:val="2"/>
        </w:numPr>
        <w:spacing w:after="90" w:line="264"/>
      </w:pPr>
      <w:r>
        <w:rPr>
          <w:rFonts w:ascii="Inter" w:cs="Inter" w:eastAsia="Inter" w:hAnsi="Inter"/>
          <w:color w:val="111827"/>
          <w:sz w:val="21"/>
          <w:szCs w:val="21"/>
        </w:rPr>
        <w:t xml:space="preserve">Topic map using the six status labels in order: Not started, First pass, Needs attention, Developing, Secure, Due for review</w:t>
      </w:r>
    </w:p>
    <w:p>
      <w:pPr>
        <w:spacing w:after="90" w:before="220"/>
      </w:pPr>
      <w:r>
        <w:rPr>
          <w:rFonts w:ascii="Manrope" w:cs="Manrope" w:eastAsia="Manrope" w:hAnsi="Manrope"/>
          <w:b/>
          <w:bCs/>
          <w:color w:val="0F172A"/>
          <w:sz w:val="23"/>
          <w:szCs w:val="23"/>
        </w:rPr>
        <w:t xml:space="preserve">Ask Ace (contextual)</w:t>
      </w:r>
    </w:p>
    <w:p>
      <w:pPr>
        <w:pStyle w:val="ListParagraph"/>
        <w:numPr>
          <w:ilvl w:val="0"/>
          <w:numId w:val="2"/>
        </w:numPr>
        <w:spacing w:after="90" w:line="264"/>
      </w:pPr>
      <w:r>
        <w:rPr>
          <w:rFonts w:ascii="Inter" w:cs="Inter" w:eastAsia="Inter" w:hAnsi="Inter"/>
          <w:color w:val="111827"/>
          <w:sz w:val="21"/>
          <w:szCs w:val="21"/>
        </w:rPr>
        <w:t xml:space="preserve">At minimum, the “ask about this question” entry point beneath an explanation, grounded only in AcePharm’s reviewed content with a citation on every response — Ace is grounded, not generative, and must say so plainly when something is not covered rather than improvising</w:t>
      </w:r>
    </w:p>
    <w:p>
      <w:pPr>
        <w:pStyle w:val="ListParagraph"/>
        <w:numPr>
          <w:ilvl w:val="0"/>
          <w:numId w:val="2"/>
        </w:numPr>
        <w:spacing w:after="90" w:line="264"/>
      </w:pPr>
      <w:r>
        <w:rPr>
          <w:rFonts w:ascii="Inter" w:cs="Inter" w:eastAsia="Inter" w:hAnsi="Inter"/>
          <w:color w:val="111827"/>
          <w:sz w:val="21"/>
          <w:szCs w:val="21"/>
        </w:rPr>
        <w:t xml:space="preserve">The richer Ace hub — revision planner, consultation simulator, calculation coach, flashcard management — can reasonably wait for a later phase. Use your judgement on how much of it belongs in v1 and explain your reasoning in your submission</w:t>
      </w:r>
    </w:p>
    <w:p>
      <w:pPr>
        <w:spacing w:after="90" w:before="220"/>
      </w:pPr>
      <w:r>
        <w:rPr>
          <w:rFonts w:ascii="Manrope" w:cs="Manrope" w:eastAsia="Manrope" w:hAnsi="Manrope"/>
          <w:b/>
          <w:bCs/>
          <w:color w:val="0F172A"/>
          <w:sz w:val="23"/>
          <w:szCs w:val="23"/>
        </w:rPr>
        <w:t xml:space="preserve">Account &amp; Subscription</w:t>
      </w:r>
    </w:p>
    <w:p>
      <w:pPr>
        <w:pStyle w:val="ListParagraph"/>
        <w:numPr>
          <w:ilvl w:val="0"/>
          <w:numId w:val="2"/>
        </w:numPr>
        <w:spacing w:after="90" w:line="264"/>
      </w:pPr>
      <w:r>
        <w:rPr>
          <w:rFonts w:ascii="Inter" w:cs="Inter" w:eastAsia="Inter" w:hAnsi="Inter"/>
          <w:color w:val="111827"/>
          <w:sz w:val="21"/>
          <w:szCs w:val="21"/>
        </w:rPr>
        <w:t xml:space="preserve">View plan, renewal date and price; cancellation reachable from the app</w:t>
      </w:r>
    </w:p>
    <w:p>
      <w:pPr>
        <w:pStyle w:val="ListParagraph"/>
        <w:numPr>
          <w:ilvl w:val="0"/>
          <w:numId w:val="2"/>
        </w:numPr>
        <w:spacing w:after="90" w:line="264"/>
      </w:pPr>
      <w:r>
        <w:rPr>
          <w:rFonts w:ascii="Inter" w:cs="Inter" w:eastAsia="Inter" w:hAnsi="Inter"/>
          <w:color w:val="111827"/>
          <w:sz w:val="21"/>
          <w:szCs w:val="21"/>
        </w:rPr>
        <w:t xml:space="preserve">Whether to sell subscriptions in-app (Apple/Google in-app purchase) or only display status for a subscription bought on the web is a real decision with App Store review implications — use your judgement and explain your reasoning and its trade-offs in your submission</w:t>
      </w:r>
    </w:p>
    <w:p>
      <w:pPr>
        <w:spacing w:after="90" w:before="220"/>
      </w:pPr>
      <w:r>
        <w:rPr>
          <w:rFonts w:ascii="Manrope" w:cs="Manrope" w:eastAsia="Manrope" w:hAnsi="Manrope"/>
          <w:b/>
          <w:bCs/>
          <w:color w:val="0F172A"/>
          <w:sz w:val="23"/>
          <w:szCs w:val="23"/>
        </w:rPr>
        <w:t xml:space="preserve">Handling No Login and No Internet</w:t>
      </w:r>
    </w:p>
    <w:p>
      <w:pPr>
        <w:pStyle w:val="ListParagraph"/>
        <w:numPr>
          <w:ilvl w:val="0"/>
          <w:numId w:val="2"/>
        </w:numPr>
        <w:spacing w:after="90" w:line="264"/>
      </w:pPr>
      <w:r>
        <w:rPr>
          <w:rFonts w:ascii="Inter" w:cs="Inter" w:eastAsia="Inter" w:hAnsi="Inter"/>
          <w:color w:val="111827"/>
          <w:sz w:val="21"/>
          <w:szCs w:val="21"/>
        </w:rPr>
        <w:t xml:space="preserve">If the user isn’t logged in, or login fails, the app must not crash — show a clear state with a way to retry</w:t>
      </w:r>
    </w:p>
    <w:p>
      <w:pPr>
        <w:pStyle w:val="ListParagraph"/>
        <w:numPr>
          <w:ilvl w:val="0"/>
          <w:numId w:val="2"/>
        </w:numPr>
        <w:spacing w:after="90" w:line="264"/>
      </w:pPr>
      <w:r>
        <w:rPr>
          <w:rFonts w:ascii="Inter" w:cs="Inter" w:eastAsia="Inter" w:hAnsi="Inter"/>
          <w:color w:val="111827"/>
          <w:sz w:val="21"/>
          <w:szCs w:val="21"/>
        </w:rPr>
        <w:t xml:space="preserve">If there’s no internet connection, show the last-loaded data or a clear message rather than a blank or broken screen, and never lose a submitted answer — retry automatically once the connection returns</w:t>
      </w:r>
    </w:p>
    <w:p>
      <w:pPr>
        <w:pStyle w:val="Heading1"/>
        <w:pBdr>
          <w:bottom w:val="single" w:color="CBD5E1" w:sz="6" w:space="4"/>
        </w:pBdr>
        <w:spacing w:after="160" w:before="380"/>
      </w:pPr>
      <w:r>
        <w:rPr>
          <w:rFonts w:ascii="Manrope" w:cs="Manrope" w:eastAsia="Manrope" w:hAnsi="Manrope"/>
          <w:b/>
          <w:bCs/>
          <w:color w:val="0F172A"/>
          <w:sz w:val="27"/>
          <w:szCs w:val="27"/>
        </w:rPr>
        <w:t xml:space="preserve">Technical Requirements</w:t>
      </w:r>
    </w:p>
    <w:p>
      <w:pPr>
        <w:pStyle w:val="ListParagraph"/>
        <w:numPr>
          <w:ilvl w:val="0"/>
          <w:numId w:val="2"/>
        </w:numPr>
        <w:spacing w:after="90" w:line="264"/>
      </w:pPr>
      <w:r>
        <w:rPr>
          <w:rFonts w:ascii="Inter" w:cs="Inter" w:eastAsia="Inter" w:hAnsi="Inter"/>
          <w:color w:val="111827"/>
          <w:sz w:val="21"/>
          <w:szCs w:val="21"/>
        </w:rPr>
        <w:t xml:space="preserve">Built in Flutter (Dart), targeting both iOS and Android</w:t>
      </w:r>
    </w:p>
    <w:p>
      <w:pPr>
        <w:pStyle w:val="ListParagraph"/>
        <w:numPr>
          <w:ilvl w:val="0"/>
          <w:numId w:val="2"/>
        </w:numPr>
        <w:spacing w:after="90" w:line="264"/>
      </w:pPr>
      <w:r>
        <w:rPr>
          <w:rFonts w:ascii="Inter" w:cs="Inter" w:eastAsia="Inter" w:hAnsi="Inter"/>
          <w:color w:val="111827"/>
          <w:sz w:val="21"/>
          <w:szCs w:val="21"/>
        </w:rPr>
        <w:t xml:space="preserve">Calls the same backend and data model the web platform uses (Next.js API routes, PostgreSQL via Prisma) — coordinate the API contract with the web build rather than inventing a parallel one</w:t>
      </w:r>
    </w:p>
    <w:p>
      <w:pPr>
        <w:pStyle w:val="ListParagraph"/>
        <w:numPr>
          <w:ilvl w:val="0"/>
          <w:numId w:val="2"/>
        </w:numPr>
        <w:spacing w:after="90" w:line="264"/>
      </w:pPr>
      <w:r>
        <w:rPr>
          <w:rFonts w:ascii="Inter" w:cs="Inter" w:eastAsia="Inter" w:hAnsi="Inter"/>
          <w:color w:val="111827"/>
          <w:sz w:val="21"/>
          <w:szCs w:val="21"/>
        </w:rPr>
        <w:t xml:space="preserve">Design tokens and copy sourced from Section 3.3 of the Developer Brief, the prototype, and the Website Copy document</w:t>
      </w:r>
    </w:p>
    <w:p>
      <w:pPr>
        <w:pStyle w:val="ListParagraph"/>
        <w:numPr>
          <w:ilvl w:val="0"/>
          <w:numId w:val="2"/>
        </w:numPr>
        <w:spacing w:after="90" w:line="264"/>
      </w:pPr>
      <w:r>
        <w:rPr>
          <w:rFonts w:ascii="Inter" w:cs="Inter" w:eastAsia="Inter" w:hAnsi="Inter"/>
          <w:color w:val="111827"/>
          <w:sz w:val="21"/>
          <w:szCs w:val="21"/>
        </w:rPr>
        <w:t xml:space="preserve">No API keys or secrets committed to GitHub — use environment variables / config exclusion, same rule as on all our projects</w:t>
      </w:r>
    </w:p>
    <w:p>
      <w:pPr>
        <w:pStyle w:val="ListParagraph"/>
        <w:numPr>
          <w:ilvl w:val="0"/>
          <w:numId w:val="2"/>
        </w:numPr>
        <w:spacing w:after="90" w:line="264"/>
      </w:pPr>
      <w:r>
        <w:rPr>
          <w:rFonts w:ascii="Inter" w:cs="Inter" w:eastAsia="Inter" w:hAnsi="Inter"/>
          <w:color w:val="111827"/>
          <w:sz w:val="21"/>
          <w:szCs w:val="21"/>
        </w:rPr>
        <w:t xml:space="preserve">Code is on GitHub, organised sensibly, with a reasonable commit history</w:t>
      </w:r>
    </w:p>
    <w:p>
      <w:pPr>
        <w:pStyle w:val="ListParagraph"/>
        <w:numPr>
          <w:ilvl w:val="0"/>
          <w:numId w:val="2"/>
        </w:numPr>
        <w:spacing w:after="90" w:line="264"/>
      </w:pPr>
      <w:r>
        <w:rPr>
          <w:rFonts w:ascii="Inter" w:cs="Inter" w:eastAsia="Inter" w:hAnsi="Inter"/>
          <w:color w:val="111827"/>
          <w:sz w:val="21"/>
          <w:szCs w:val="21"/>
        </w:rPr>
        <w:t xml:space="preserve">App is installable and testable by your reviewer without needing your personal developer accounts — via Play Console internal/closed testing and/or a shareable APK, and TestFlight for iOS</w:t>
      </w:r>
    </w:p>
    <w:p>
      <w:pPr>
        <w:spacing w:after="120"/>
      </w:pPr>
    </w:p>
    <w:tbl>
      <w:tblPr>
        <w:tblW w:type="dxa" w:w="9800"/>
        <w:tblBorders>
          <w:top w:val="single" w:color="10B981" w:sz="6"/>
          <w:left w:val="single" w:color="10B981" w:sz="6"/>
          <w:bottom w:val="single" w:color="10B981" w:sz="6"/>
          <w:right w:val="single" w:color="10B981" w:sz="6"/>
          <w:insideH w:val="none" w:color="FFFFFF" w:sz="0"/>
          <w:insideV w:val="none" w:color="FFFFFF" w:sz="0"/>
        </w:tblBorders>
      </w:tblPr>
      <w:tblGrid>
        <w:gridCol w:w="9800"/>
      </w:tblGrid>
      <w:tr>
        <w:tc>
          <w:tcPr>
            <w:tcW w:type="dxa" w:w="9800"/>
            <w:shd w:fill="ECFDF5" w:color="auto" w:val="clear"/>
            <w:tcMar>
              <w:top w:type="dxa" w:w="200"/>
              <w:left w:type="dxa" w:w="220"/>
              <w:bottom w:type="dxa" w:w="200"/>
              <w:right w:type="dxa" w:w="220"/>
            </w:tcMar>
          </w:tcPr>
          <w:p>
            <w:pPr>
              <w:spacing w:after="0" w:before="0"/>
            </w:pPr>
            <w:r>
              <w:rPr>
                <w:rFonts w:ascii="Inter" w:cs="Inter" w:eastAsia="Inter" w:hAnsi="Inter"/>
                <w:b w:val="false"/>
                <w:bCs w:val="false"/>
                <w:color w:val="111827"/>
                <w:sz w:val="21"/>
                <w:szCs w:val="21"/>
              </w:rPr>
              <w:t xml:space="preserve">One override rule, carried over from the Developer Brief itself: the stack above is decided, but if you are not fluent in something on it, say so before starting and propose the equivalent you know well. A stack you know beats a stack that looks better on paper.</w:t>
            </w:r>
          </w:p>
          <w:p>
            <w:pPr>
              <w:spacing w:after="0" w:before="160"/>
            </w:pPr>
            <w:r>
              <w:rPr>
                <w:rFonts w:ascii="Inter" w:cs="Inter" w:eastAsia="Inter" w:hAnsi="Inter"/>
                <w:b w:val="false"/>
                <w:bCs w:val="false"/>
                <w:color w:val="111827"/>
                <w:sz w:val="21"/>
                <w:szCs w:val="21"/>
              </w:rPr>
              <w:t xml:space="preserve">Do not begin functional build work on this before Milestone 3 of the web platform (the question engine) has shipped to staging — there is no API to call before then. Treat this brief as ready-to-go, not as a live start date.</w:t>
            </w:r>
          </w:p>
          <w:p>
            <w:pPr>
              <w:spacing w:after="0" w:before="160"/>
            </w:pPr>
            <w:r>
              <w:rPr>
                <w:rFonts w:ascii="Inter" w:cs="Inter" w:eastAsia="Inter" w:hAnsi="Inter"/>
                <w:b w:val="false"/>
                <w:bCs w:val="false"/>
                <w:color w:val="111827"/>
                <w:sz w:val="21"/>
                <w:szCs w:val="21"/>
              </w:rPr>
              <w:t xml:space="preserve">On distribution: the Google Play Console organisation account exists but has a pending website-verification step — confirm with Hafiz that it has cleared before relying on internal/closed testing. The Apple Developer Program account has not been set up yet, so TestFlight is not available until that is done separately.</w:t>
            </w:r>
          </w:p>
        </w:tc>
      </w:tr>
    </w:tbl>
    <w:p>
      <w:pPr>
        <w:spacing w:after="200"/>
      </w:pPr>
    </w:p>
    <w:p>
      <w:pPr>
        <w:pStyle w:val="Heading1"/>
        <w:pBdr>
          <w:bottom w:val="single" w:color="CBD5E1" w:sz="6" w:space="4"/>
        </w:pBdr>
        <w:spacing w:after="160" w:before="380"/>
      </w:pPr>
      <w:r>
        <w:rPr>
          <w:rFonts w:ascii="Manrope" w:cs="Manrope" w:eastAsia="Manrope" w:hAnsi="Manrope"/>
          <w:b/>
          <w:bCs/>
          <w:color w:val="0F172A"/>
          <w:sz w:val="27"/>
          <w:szCs w:val="27"/>
        </w:rPr>
        <w:t xml:space="preserve">What to Submit</w:t>
      </w:r>
    </w:p>
    <w:p>
      <w:pPr>
        <w:spacing w:after="160" w:line="276"/>
      </w:pPr>
      <w:r>
        <w:rPr>
          <w:rFonts w:ascii="Inter" w:cs="Inter" w:eastAsia="Inter" w:hAnsi="Inter"/>
          <w:color w:val="111827"/>
          <w:sz w:val="21"/>
          <w:szCs w:val="21"/>
        </w:rPr>
        <w:t xml:space="preserve">When you’re ready to submit, complete a Submission for Review document with the fields below. This is what I’ll use to review and test the finished app, so please make sure every field is filled in.</w:t>
      </w:r>
    </w:p>
    <w:tbl>
      <w:tblPr>
        <w:tblW w:type="dxa" w:w="98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2200"/>
        <w:gridCol w:w="6900"/>
      </w:tblGrid>
      <w:tr>
        <w:trPr>
          <w:tblHeader/>
        </w:trPr>
        <w:tc>
          <w:tcPr>
            <w:tcW w:type="dxa" w:w="700"/>
            <w:shd w:fill="0F172A" w:color="auto" w:val="clear"/>
            <w:tcMar>
              <w:top w:type="dxa" w:w="110"/>
              <w:left w:type="dxa" w:w="140"/>
              <w:bottom w:type="dxa" w:w="110"/>
              <w:right w:type="dxa" w:w="140"/>
            </w:tcMar>
            <w:vAlign w:val="center"/>
          </w:tcPr>
          <w:p>
            <w:pPr>
              <w:spacing w:after="0" w:line="252"/>
            </w:pPr>
            <w:r>
              <w:rPr>
                <w:rFonts w:ascii="Inter" w:cs="Inter" w:eastAsia="Inter" w:hAnsi="Inter"/>
                <w:b/>
                <w:bCs/>
                <w:color w:val="FFFFFF"/>
                <w:sz w:val="19"/>
                <w:szCs w:val="19"/>
              </w:rPr>
              <w:t xml:space="preserve">#</w:t>
            </w:r>
          </w:p>
        </w:tc>
        <w:tc>
          <w:tcPr>
            <w:tcW w:type="dxa" w:w="2200"/>
            <w:shd w:fill="0F172A" w:color="auto" w:val="clear"/>
            <w:tcMar>
              <w:top w:type="dxa" w:w="110"/>
              <w:left w:type="dxa" w:w="140"/>
              <w:bottom w:type="dxa" w:w="110"/>
              <w:right w:type="dxa" w:w="140"/>
            </w:tcMar>
            <w:vAlign w:val="center"/>
          </w:tcPr>
          <w:p>
            <w:pPr>
              <w:spacing w:after="0" w:line="252"/>
            </w:pPr>
            <w:r>
              <w:rPr>
                <w:rFonts w:ascii="Inter" w:cs="Inter" w:eastAsia="Inter" w:hAnsi="Inter"/>
                <w:b/>
                <w:bCs/>
                <w:color w:val="FFFFFF"/>
                <w:sz w:val="19"/>
                <w:szCs w:val="19"/>
              </w:rPr>
              <w:t xml:space="preserve">Field</w:t>
            </w:r>
          </w:p>
        </w:tc>
        <w:tc>
          <w:tcPr>
            <w:tcW w:type="dxa" w:w="6900"/>
            <w:shd w:fill="0F172A" w:color="auto" w:val="clear"/>
            <w:tcMar>
              <w:top w:type="dxa" w:w="110"/>
              <w:left w:type="dxa" w:w="140"/>
              <w:bottom w:type="dxa" w:w="110"/>
              <w:right w:type="dxa" w:w="140"/>
            </w:tcMar>
            <w:vAlign w:val="center"/>
          </w:tcPr>
          <w:p>
            <w:pPr>
              <w:spacing w:after="0" w:line="252"/>
            </w:pPr>
            <w:r>
              <w:rPr>
                <w:rFonts w:ascii="Inter" w:cs="Inter" w:eastAsia="Inter" w:hAnsi="Inter"/>
                <w:b/>
                <w:bCs/>
                <w:color w:val="FFFFFF"/>
                <w:sz w:val="19"/>
                <w:szCs w:val="19"/>
              </w:rPr>
              <w:t xml:space="preserve">What to include</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1</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App access</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Play Console internal/closed testing link (or installable APK) for Android; TestFlight invite link for iOS, or a clear note on what was attempted and why it wasn’t completed</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2</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Feature &amp; scope mapping</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Which parts of the AcePharm spec you brought to mobile, what you deferred (including how much of the Ace hub), and why</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3</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Subscription/IAP approach</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Whether you sell subscriptions in-app or show status only, and your reasoning</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4</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GitHub repository</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Full URL (must be accessible), plus a link to recent commits or a brief summary of what each covers</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5</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Loom screen recording</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2–4 minute video showing: app launch, onboarding, building and completing a session, the full explanation view, Ask Ace on a question, progress, and behaviour with no internet or no login</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6</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What I Built</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5 to 10 lines in plain English — what the app does from a user’s perspective</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7</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Tools and libraries used, and why</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List the main packages and explain your choices</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8</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Problems encountered</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Any issues hit during the build and how you resolved them — be honest and specific</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9</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How to test the project</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Step-by-step instructions, including how the reviewer installs/accesses the app and any test login details needed</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10</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Known limitations</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Anything that doesn’t work perfectly, or that you’d improve with more time</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11</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Path to Production Answer</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Your full answer to the plan below, written in paragraphs</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12</w:t>
            </w:r>
          </w:p>
        </w:tc>
        <w:tc>
          <w:tcPr>
            <w:tcW w:type="dxa" w:w="22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Submission date</w:t>
            </w:r>
          </w:p>
        </w:tc>
        <w:tc>
          <w:tcPr>
            <w:tcW w:type="dxa" w:w="69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The date you’re submitting this project</w:t>
            </w:r>
          </w:p>
        </w:tc>
      </w:tr>
    </w:tbl>
    <w:p>
      <w:pPr>
        <w:spacing w:after="200"/>
      </w:pPr>
    </w:p>
    <w:p>
      <w:pPr>
        <w:pStyle w:val="Heading1"/>
        <w:pBdr>
          <w:bottom w:val="single" w:color="CBD5E1" w:sz="6" w:space="4"/>
        </w:pBdr>
        <w:spacing w:after="160" w:before="380"/>
      </w:pPr>
      <w:r>
        <w:rPr>
          <w:rFonts w:ascii="Manrope" w:cs="Manrope" w:eastAsia="Manrope" w:hAnsi="Manrope"/>
          <w:b/>
          <w:bCs/>
          <w:color w:val="0F172A"/>
          <w:sz w:val="27"/>
          <w:szCs w:val="27"/>
        </w:rPr>
        <w:t xml:space="preserve">QA Review Criteria</w:t>
      </w:r>
    </w:p>
    <w:tbl>
      <w:tblPr>
        <w:tblW w:type="dxa" w:w="9800"/>
        <w:tblBorders>
          <w:top w:val="single" w:color="CBD5E1" w:sz="4"/>
          <w:left w:val="single" w:color="CBD5E1" w:sz="4"/>
          <w:bottom w:val="single" w:color="CBD5E1" w:sz="4"/>
          <w:right w:val="single" w:color="CBD5E1" w:sz="4"/>
          <w:insideH w:val="single" w:color="CBD5E1" w:sz="4"/>
          <w:insideV w:val="single" w:color="CBD5E1" w:sz="4"/>
        </w:tblBorders>
      </w:tblPr>
      <w:tblGrid>
        <w:gridCol w:w="700"/>
        <w:gridCol w:w="9100"/>
      </w:tblGrid>
      <w:tr>
        <w:trPr>
          <w:tblHeader/>
        </w:trPr>
        <w:tc>
          <w:tcPr>
            <w:tcW w:type="dxa" w:w="700"/>
            <w:shd w:fill="0F172A" w:color="auto" w:val="clear"/>
            <w:tcMar>
              <w:top w:type="dxa" w:w="110"/>
              <w:left w:type="dxa" w:w="140"/>
              <w:bottom w:type="dxa" w:w="110"/>
              <w:right w:type="dxa" w:w="140"/>
            </w:tcMar>
            <w:vAlign w:val="center"/>
          </w:tcPr>
          <w:p>
            <w:pPr>
              <w:spacing w:after="0" w:line="252"/>
            </w:pPr>
            <w:r>
              <w:rPr>
                <w:rFonts w:ascii="Inter" w:cs="Inter" w:eastAsia="Inter" w:hAnsi="Inter"/>
                <w:b/>
                <w:bCs/>
                <w:color w:val="FFFFFF"/>
                <w:sz w:val="19"/>
                <w:szCs w:val="19"/>
              </w:rPr>
              <w:t xml:space="preserve">#</w:t>
            </w:r>
          </w:p>
        </w:tc>
        <w:tc>
          <w:tcPr>
            <w:tcW w:type="dxa" w:w="9100"/>
            <w:shd w:fill="0F172A" w:color="auto" w:val="clear"/>
            <w:tcMar>
              <w:top w:type="dxa" w:w="110"/>
              <w:left w:type="dxa" w:w="140"/>
              <w:bottom w:type="dxa" w:w="110"/>
              <w:right w:type="dxa" w:w="140"/>
            </w:tcMar>
            <w:vAlign w:val="center"/>
          </w:tcPr>
          <w:p>
            <w:pPr>
              <w:spacing w:after="0" w:line="252"/>
            </w:pPr>
            <w:r>
              <w:rPr>
                <w:rFonts w:ascii="Inter" w:cs="Inter" w:eastAsia="Inter" w:hAnsi="Inter"/>
                <w:b/>
                <w:bCs/>
                <w:color w:val="FFFFFF"/>
                <w:sz w:val="19"/>
                <w:szCs w:val="19"/>
              </w:rPr>
              <w:t xml:space="preserve">Review Point</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1</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Is confidence captured before submission, with no colour signal before it and an icon plus text label after?</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2</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Does every incorrect option get its own rationale, attributed to “AcePharm Clinical Editorial Team” rather than a named reviewer?</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3</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Are the five progress metrics kept visibly distinct, with first-attempt accuracy most prominent, using the correct six-label status order ending “Due for review”?</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4</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Does Ask Ace answer only from AcePharm’s content with a citation, and decline plainly when something isn’t covered?</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5</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Does the app handle no login and no internet gracefully, without crashing or losing a submitted answer?</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6</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Is the UI visually consistent with the design tokens and prototype, not an approximation of them?</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7</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Is the code on GitHub and sensibly organised, with a reasonable commit history?</w:t>
            </w:r>
          </w:p>
        </w:tc>
      </w:tr>
      <w:tr>
        <w:tc>
          <w:tcPr>
            <w:tcW w:type="dxa" w:w="700"/>
            <w:tcMar>
              <w:top w:type="dxa" w:w="110"/>
              <w:left w:type="dxa" w:w="140"/>
              <w:bottom w:type="dxa" w:w="110"/>
              <w:right w:type="dxa" w:w="140"/>
            </w:tcMar>
            <w:vAlign w:val="top"/>
          </w:tcPr>
          <w:p>
            <w:pPr>
              <w:spacing w:after="0" w:line="252"/>
            </w:pPr>
            <w:r>
              <w:rPr>
                <w:rFonts w:ascii="Inter" w:cs="Inter" w:eastAsia="Inter" w:hAnsi="Inter"/>
                <w:b/>
                <w:bCs/>
                <w:color w:val="0F172A"/>
                <w:sz w:val="19"/>
                <w:szCs w:val="19"/>
              </w:rPr>
              <w:t xml:space="preserve">8</w:t>
            </w:r>
          </w:p>
        </w:tc>
        <w:tc>
          <w:tcPr>
            <w:tcW w:type="dxa" w:w="9100"/>
            <w:tcMar>
              <w:top w:type="dxa" w:w="110"/>
              <w:left w:type="dxa" w:w="140"/>
              <w:bottom w:type="dxa" w:w="110"/>
              <w:right w:type="dxa" w:w="140"/>
            </w:tcMar>
            <w:vAlign w:val="top"/>
          </w:tcPr>
          <w:p>
            <w:pPr>
              <w:spacing w:after="0" w:line="252"/>
            </w:pPr>
            <w:r>
              <w:rPr>
                <w:rFonts w:ascii="Inter" w:cs="Inter" w:eastAsia="Inter" w:hAnsi="Inter"/>
                <w:b w:val="false"/>
                <w:bCs w:val="false"/>
                <w:color w:val="111827"/>
                <w:sz w:val="19"/>
                <w:szCs w:val="19"/>
              </w:rPr>
              <w:t xml:space="preserve">Can the reviewer install and test the app without needing production publishing or your personal developer accounts?</w:t>
            </w:r>
          </w:p>
        </w:tc>
      </w:tr>
    </w:tbl>
    <w:p>
      <w:pPr>
        <w:spacing w:after="200"/>
      </w:pPr>
    </w:p>
    <w:p>
      <w:pPr>
        <w:pStyle w:val="Heading1"/>
        <w:pBdr>
          <w:bottom w:val="single" w:color="CBD5E1" w:sz="6" w:space="4"/>
        </w:pBdr>
        <w:spacing w:after="160" w:before="380"/>
      </w:pPr>
      <w:r>
        <w:rPr>
          <w:rFonts w:ascii="Manrope" w:cs="Manrope" w:eastAsia="Manrope" w:hAnsi="Manrope"/>
          <w:b/>
          <w:bCs/>
          <w:color w:val="0F172A"/>
          <w:sz w:val="27"/>
          <w:szCs w:val="27"/>
        </w:rPr>
        <w:t xml:space="preserve">Path to Production</w:t>
      </w:r>
    </w:p>
    <w:p>
      <w:pPr>
        <w:spacing w:after="160" w:line="276"/>
      </w:pPr>
      <w:r>
        <w:rPr>
          <w:rFonts w:ascii="Inter" w:cs="Inter" w:eastAsia="Inter" w:hAnsi="Inter"/>
          <w:color w:val="111827"/>
          <w:sz w:val="21"/>
          <w:szCs w:val="21"/>
        </w:rPr>
        <w:t xml:space="preserve">Write up your plan for the points below in your submission — plain English, a few short paragraphs, not bullet points.</w:t>
      </w:r>
    </w:p>
    <w:tbl>
      <w:tblPr>
        <w:tblW w:type="dxa" w:w="9800"/>
        <w:tblBorders>
          <w:top w:val="single" w:color="10B981" w:sz="6"/>
          <w:left w:val="single" w:color="10B981" w:sz="6"/>
          <w:bottom w:val="single" w:color="10B981" w:sz="6"/>
          <w:right w:val="single" w:color="10B981" w:sz="6"/>
          <w:insideH w:val="none" w:color="FFFFFF" w:sz="0"/>
          <w:insideV w:val="none" w:color="FFFFFF" w:sz="0"/>
        </w:tblBorders>
      </w:tblPr>
      <w:tblGrid>
        <w:gridCol w:w="9800"/>
      </w:tblGrid>
      <w:tr>
        <w:tc>
          <w:tcPr>
            <w:tcW w:type="dxa" w:w="9800"/>
            <w:shd w:fill="ECFDF5" w:color="auto" w:val="clear"/>
            <w:tcMar>
              <w:top w:type="dxa" w:w="200"/>
              <w:left w:type="dxa" w:w="220"/>
              <w:bottom w:type="dxa" w:w="200"/>
              <w:right w:type="dxa" w:w="220"/>
            </w:tcMar>
          </w:tcPr>
          <w:p>
            <w:pPr>
              <w:spacing w:after="120" w:before="0"/>
            </w:pPr>
            <w:r>
              <w:rPr>
                <w:rFonts w:ascii="Manrope" w:cs="Manrope" w:eastAsia="Manrope" w:hAnsi="Manrope"/>
                <w:b/>
                <w:bCs/>
                <w:color w:val="111827"/>
                <w:sz w:val="22"/>
                <w:szCs w:val="22"/>
              </w:rPr>
              <w:t xml:space="preserve">What to Cover</w:t>
            </w:r>
          </w:p>
          <w:p>
            <w:pPr>
              <w:spacing w:after="0" w:before="0"/>
            </w:pPr>
            <w:r>
              <w:rPr>
                <w:rFonts w:ascii="Inter" w:cs="Inter" w:eastAsia="Inter" w:hAnsi="Inter"/>
                <w:b w:val="false"/>
                <w:bCs w:val="false"/>
                <w:color w:val="111827"/>
                <w:sz w:val="21"/>
                <w:szCs w:val="21"/>
              </w:rPr>
              <w:t xml:space="preserve">This is your third app for Takween Digital, after Prayer Times and Takween Tutors. What is genuinely shared across all three — navigation patterns, theming, networking and auth setup, offline/error handling? How would you structure a shared foundation so AcePharm and future apps are not each built from scratch?</w:t>
            </w:r>
          </w:p>
          <w:p>
            <w:pPr>
              <w:spacing w:after="0" w:before="160"/>
            </w:pPr>
            <w:r>
              <w:rPr>
                <w:rFonts w:ascii="Inter" w:cs="Inter" w:eastAsia="Inter" w:hAnsi="Inter"/>
                <w:b w:val="false"/>
                <w:bCs w:val="false"/>
                <w:color w:val="111827"/>
                <w:sz w:val="21"/>
                <w:szCs w:val="21"/>
              </w:rPr>
              <w:t xml:space="preserve">This app is designed against a backend that does not exist yet. What is your plan for developing against it before Milestone 3 ships — a mock API to your own contract, or waiting? What would you need from the web build to avoid rework once the real API lands?</w:t>
            </w:r>
          </w:p>
          <w:p>
            <w:pPr>
              <w:spacing w:after="0" w:before="160"/>
            </w:pPr>
            <w:r>
              <w:rPr>
                <w:rFonts w:ascii="Inter" w:cs="Inter" w:eastAsia="Inter" w:hAnsi="Inter"/>
                <w:b w:val="false"/>
                <w:bCs w:val="false"/>
                <w:color w:val="111827"/>
                <w:sz w:val="21"/>
                <w:szCs w:val="21"/>
              </w:rPr>
              <w:t xml:space="preserve">You made a call above on in-app purchases versus status-only display. Walk through what Apple’s and Google’s review processes would actually require of whichever you chose, and what we should prepare in advance to avoid delays.</w:t>
            </w:r>
          </w:p>
        </w:tc>
      </w:tr>
    </w:tbl>
    <w:p>
      <w:pPr>
        <w:spacing w:after="200"/>
      </w:pPr>
    </w:p>
    <w:p>
      <w:pPr>
        <w:pStyle w:val="Heading1"/>
        <w:pBdr>
          <w:bottom w:val="single" w:color="CBD5E1" w:sz="6" w:space="4"/>
        </w:pBdr>
        <w:spacing w:after="160" w:before="380"/>
      </w:pPr>
      <w:r>
        <w:rPr>
          <w:rFonts w:ascii="Manrope" w:cs="Manrope" w:eastAsia="Manrope" w:hAnsi="Manrope"/>
          <w:b/>
          <w:bCs/>
          <w:color w:val="0F172A"/>
          <w:sz w:val="27"/>
          <w:szCs w:val="27"/>
        </w:rPr>
        <w:t xml:space="preserve">Final Note</w:t>
      </w:r>
    </w:p>
    <w:p>
      <w:pPr>
        <w:spacing w:after="160" w:line="276"/>
      </w:pPr>
      <w:r>
        <w:rPr>
          <w:rFonts w:ascii="Inter" w:cs="Inter" w:eastAsia="Inter" w:hAnsi="Inter"/>
          <w:color w:val="111827"/>
          <w:sz w:val="21"/>
          <w:szCs w:val="21"/>
        </w:rPr>
        <w:t xml:space="preserve">The two most important things in this project are the same as on AcePharm’s web build: accuracy and trust in the content — nothing here is a lighter or simplified version of the rules in the Developer Brief — and graceful handling of missing login, data, or connectivity. Get these right and the rest follows.</w:t>
      </w:r>
    </w:p>
    <w:sectPr>
      <w:pgSz w:w="11906" w:h="16838" w:orient="portrait"/>
      <w:pgMar w:top="1050" w:right="1050" w:bottom="1050" w:left="10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111827"/>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2026-08-29T17:50:33.485Z</dcterms:created>
  <dcterms:modified xsi:type="dcterms:W3CDTF">2026-08-29T17:50:33.500Z</dcterms:modified>
</cp:coreProperties>
</file>

<file path=docProps/custom.xml><?xml version="1.0" encoding="utf-8"?>
<Properties xmlns="http://schemas.openxmlformats.org/officeDocument/2006/custom-properties" xmlns:vt="http://schemas.openxmlformats.org/officeDocument/2006/docPropsVTypes"/>
</file>