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4"/>
        </w:rPr>
        <w:t>Nexa Precision Workstation - Shopify Dawn Migration Guide</w:t>
      </w:r>
    </w:p>
    <w:p>
      <w:r>
        <w:rPr>
          <w:i/>
          <w:color w:val="64748B"/>
          <w:sz w:val="22"/>
        </w:rPr>
        <w:t>Complete step-by-step implementation guide for converting Hydrogen React storefront into native Shopify Dawn Liquid, CSS, JavaScript, and JSON templates.</w:t>
      </w:r>
    </w:p>
    <w:p>
      <w:pPr>
        <w:pStyle w:val="Heading1"/>
      </w:pPr>
      <w:r>
        <w:t>1. Executive Overview</w:t>
      </w:r>
    </w:p>
    <w:p>
      <w:r>
        <w:t>This manual details the step-by-step process of adding the custom Nexa Desk components from the nexa-deskcnew folder directly into Shopify Dawn. Every component has been designed to operate natively without external React dependencies, preserving Dawn compatibility and high Storefront speed.</w:t>
      </w:r>
    </w:p>
    <w:p>
      <w:pPr>
        <w:pStyle w:val="Heading1"/>
      </w:pPr>
      <w:r>
        <w:t>2. Color Scheme &amp; Design Tokens</w:t>
      </w:r>
    </w:p>
    <w:p>
      <w:r>
        <w:t>The design system matches the custom Hydrogen obsidian palette: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Design Token</w:t>
            </w:r>
          </w:p>
        </w:tc>
        <w:tc>
          <w:tcPr>
            <w:tcW w:type="dxa" w:w="3312"/>
          </w:tcPr>
          <w:p>
            <w:r>
              <w:t>Hex Code</w:t>
            </w:r>
          </w:p>
        </w:tc>
        <w:tc>
          <w:tcPr>
            <w:tcW w:type="dxa" w:w="3312"/>
          </w:tcPr>
          <w:p>
            <w:r>
              <w:t>Role &amp; Application</w:t>
            </w:r>
          </w:p>
        </w:tc>
      </w:tr>
      <w:tr>
        <w:tc>
          <w:tcPr>
            <w:tcW w:type="dxa" w:w="3312"/>
          </w:tcPr>
          <w:p>
            <w:r>
              <w:t>Primary Obsidian</w:t>
            </w:r>
          </w:p>
        </w:tc>
        <w:tc>
          <w:tcPr>
            <w:tcW w:type="dxa" w:w="3312"/>
          </w:tcPr>
          <w:p>
            <w:r>
              <w:t>#030712</w:t>
            </w:r>
          </w:p>
        </w:tc>
        <w:tc>
          <w:tcPr>
            <w:tcW w:type="dxa" w:w="3312"/>
          </w:tcPr>
          <w:p>
            <w:r>
              <w:t>Root viewport &amp; page background</w:t>
            </w:r>
          </w:p>
        </w:tc>
      </w:tr>
      <w:tr>
        <w:tc>
          <w:tcPr>
            <w:tcW w:type="dxa" w:w="3312"/>
          </w:tcPr>
          <w:p>
            <w:r>
              <w:t>Surface Slate 900</w:t>
            </w:r>
          </w:p>
        </w:tc>
        <w:tc>
          <w:tcPr>
            <w:tcW w:type="dxa" w:w="3312"/>
          </w:tcPr>
          <w:p>
            <w:r>
              <w:t>#0f172a</w:t>
            </w:r>
          </w:p>
        </w:tc>
        <w:tc>
          <w:tcPr>
            <w:tcW w:type="dxa" w:w="3312"/>
          </w:tcPr>
          <w:p>
            <w:r>
              <w:t>Inner card and hero backdrops</w:t>
            </w:r>
          </w:p>
        </w:tc>
      </w:tr>
      <w:tr>
        <w:tc>
          <w:tcPr>
            <w:tcW w:type="dxa" w:w="3312"/>
          </w:tcPr>
          <w:p>
            <w:r>
              <w:t>Surface Slate 800</w:t>
            </w:r>
          </w:p>
        </w:tc>
        <w:tc>
          <w:tcPr>
            <w:tcW w:type="dxa" w:w="3312"/>
          </w:tcPr>
          <w:p>
            <w:r>
              <w:t>#1e293b</w:t>
            </w:r>
          </w:p>
        </w:tc>
        <w:tc>
          <w:tcPr>
            <w:tcW w:type="dxa" w:w="3312"/>
          </w:tcPr>
          <w:p>
            <w:r>
              <w:t>Hover cards and elevated dialogs</w:t>
            </w:r>
          </w:p>
        </w:tc>
      </w:tr>
      <w:tr>
        <w:tc>
          <w:tcPr>
            <w:tcW w:type="dxa" w:w="3312"/>
          </w:tcPr>
          <w:p>
            <w:r>
              <w:t>Text Primary</w:t>
            </w:r>
          </w:p>
        </w:tc>
        <w:tc>
          <w:tcPr>
            <w:tcW w:type="dxa" w:w="3312"/>
          </w:tcPr>
          <w:p>
            <w:r>
              <w:t>#f8fafc</w:t>
            </w:r>
          </w:p>
        </w:tc>
        <w:tc>
          <w:tcPr>
            <w:tcW w:type="dxa" w:w="3312"/>
          </w:tcPr>
          <w:p>
            <w:r>
              <w:t>Headings, labels, and high-contrast copy</w:t>
            </w:r>
          </w:p>
        </w:tc>
      </w:tr>
      <w:tr>
        <w:tc>
          <w:tcPr>
            <w:tcW w:type="dxa" w:w="3312"/>
          </w:tcPr>
          <w:p>
            <w:r>
              <w:t>Text Secondary</w:t>
            </w:r>
          </w:p>
        </w:tc>
        <w:tc>
          <w:tcPr>
            <w:tcW w:type="dxa" w:w="3312"/>
          </w:tcPr>
          <w:p>
            <w:r>
              <w:t>#94a3b8</w:t>
            </w:r>
          </w:p>
        </w:tc>
        <w:tc>
          <w:tcPr>
            <w:tcW w:type="dxa" w:w="3312"/>
          </w:tcPr>
          <w:p>
            <w:r>
              <w:t>Subtitles and technical specifications</w:t>
            </w:r>
          </w:p>
        </w:tc>
      </w:tr>
      <w:tr>
        <w:tc>
          <w:tcPr>
            <w:tcW w:type="dxa" w:w="3312"/>
          </w:tcPr>
          <w:p>
            <w:r>
              <w:t>Electric Blue Accent</w:t>
            </w:r>
          </w:p>
        </w:tc>
        <w:tc>
          <w:tcPr>
            <w:tcW w:type="dxa" w:w="3312"/>
          </w:tcPr>
          <w:p>
            <w:r>
              <w:t>#3b82f6</w:t>
            </w:r>
          </w:p>
        </w:tc>
        <w:tc>
          <w:tcPr>
            <w:tcW w:type="dxa" w:w="3312"/>
          </w:tcPr>
          <w:p>
            <w:r>
              <w:t>Primary CTAs and host cables</w:t>
            </w:r>
          </w:p>
        </w:tc>
      </w:tr>
      <w:tr>
        <w:tc>
          <w:tcPr>
            <w:tcW w:type="dxa" w:w="3312"/>
          </w:tcPr>
          <w:p>
            <w:r>
              <w:t>Cyan Glow Accent</w:t>
            </w:r>
          </w:p>
        </w:tc>
        <w:tc>
          <w:tcPr>
            <w:tcW w:type="dxa" w:w="3312"/>
          </w:tcPr>
          <w:p>
            <w:r>
              <w:t>#06b6d4</w:t>
            </w:r>
          </w:p>
        </w:tc>
        <w:tc>
          <w:tcPr>
            <w:tcW w:type="dxa" w:w="3312"/>
          </w:tcPr>
          <w:p>
            <w:r>
              <w:t>Video pipelines and secondary highlights</w:t>
            </w:r>
          </w:p>
        </w:tc>
      </w:tr>
      <w:tr>
        <w:tc>
          <w:tcPr>
            <w:tcW w:type="dxa" w:w="3312"/>
          </w:tcPr>
          <w:p>
            <w:r>
              <w:t>Emerald Compatible</w:t>
            </w:r>
          </w:p>
        </w:tc>
        <w:tc>
          <w:tcPr>
            <w:tcW w:type="dxa" w:w="3312"/>
          </w:tcPr>
          <w:p>
            <w:r>
              <w:t>#10b981</w:t>
            </w:r>
          </w:p>
        </w:tc>
        <w:tc>
          <w:tcPr>
            <w:tcW w:type="dxa" w:w="3312"/>
          </w:tcPr>
          <w:p>
            <w:r>
              <w:t>Verified compatibility indicator</w:t>
            </w:r>
          </w:p>
        </w:tc>
      </w:tr>
      <w:tr>
        <w:tc>
          <w:tcPr>
            <w:tcW w:type="dxa" w:w="3312"/>
          </w:tcPr>
          <w:p>
            <w:r>
              <w:t>Warning Amber</w:t>
            </w:r>
          </w:p>
        </w:tc>
        <w:tc>
          <w:tcPr>
            <w:tcW w:type="dxa" w:w="3312"/>
          </w:tcPr>
          <w:p>
            <w:r>
              <w:t>#f59e0b</w:t>
            </w:r>
          </w:p>
        </w:tc>
        <w:tc>
          <w:tcPr>
            <w:tcW w:type="dxa" w:w="3312"/>
          </w:tcPr>
          <w:p>
            <w:r>
              <w:t>Low inventory and caution warnings</w:t>
            </w:r>
          </w:p>
        </w:tc>
      </w:tr>
      <w:tr>
        <w:tc>
          <w:tcPr>
            <w:tcW w:type="dxa" w:w="3312"/>
          </w:tcPr>
          <w:p>
            <w:r>
              <w:t>Error Ruby</w:t>
            </w:r>
          </w:p>
        </w:tc>
        <w:tc>
          <w:tcPr>
            <w:tcW w:type="dxa" w:w="3312"/>
          </w:tcPr>
          <w:p>
            <w:r>
              <w:t>#ef4444</w:t>
            </w:r>
          </w:p>
        </w:tc>
        <w:tc>
          <w:tcPr>
            <w:tcW w:type="dxa" w:w="3312"/>
          </w:tcPr>
          <w:p>
            <w:r>
              <w:t>Incompatible hardware mismatch warning</w:t>
            </w:r>
          </w:p>
        </w:tc>
      </w:tr>
    </w:tbl>
    <w:p>
      <w:pPr>
        <w:pStyle w:val="Heading1"/>
      </w:pPr>
      <w:r>
        <w:t>3. Directory Structure (nexa-deskcnew)</w:t>
      </w:r>
    </w:p>
    <w:p>
      <w:r>
        <w:t>• config/settings_data.json: Color presets and Dawn scheme-nexa-dark configuration.</w:t>
        <w:br/>
        <w:t>• assets/nexa-theme.css: Comprehensive stylesheet containing design tokens and glassmorphism.</w:t>
        <w:br/>
        <w:t>• assets/nexa-interactive.js: Vanilla JavaScript engine for Setup Wizard, SVG blueprints, and tooltips.</w:t>
        <w:br/>
        <w:t>• assets/nexa-cart-drawer.js: Cart fetch interceptor, £300 free shipping meter, and bundle attributes.</w:t>
        <w:br/>
        <w:t>• layout/theme.liquid: Base layout loading dark mode wrappers and Nexa asset links.</w:t>
        <w:br/>
        <w:t>• sections/: 14 custom sections (Hero Assembly, Device Selector Banner, Bento Grid, Configurator, etc.).</w:t>
        <w:br/>
        <w:t>• snippets/: 7 reusable snippets (Logo, Compatibility Badge, Free Shipping Bar, Product Cards, etc.).</w:t>
        <w:br/>
        <w:t>• templates/: Pre-configured JSON templates for Homepage, PDP, Configurator, and Comparison matrix.</w:t>
      </w:r>
    </w:p>
    <w:p>
      <w:pPr>
        <w:pStyle w:val="Heading1"/>
      </w:pPr>
      <w:r>
        <w:t>4. Step-by-Step Installation in Shopify Admin</w:t>
      </w:r>
    </w:p>
    <w:p>
      <w:r>
        <w:t>Step 1: Open Shopify Admin &gt; Online Store &gt; Themes &gt; Dawn &gt; Edit Code.</w:t>
        <w:br/>
        <w:t>Step 2: Upload assets (nexa-theme.css, nexa-interactive.js, nexa-cart-drawer.js) into the Assets folder.</w:t>
        <w:br/>
        <w:t>Step 3: Update layout/theme.liquid to include the stylesheet and deferred scripts.</w:t>
        <w:br/>
        <w:t>Step 4: Create new snippets in the Snippets folder for nexa-logo.liquid, nexa-product-card.liquid, etc.</w:t>
        <w:br/>
        <w:t>Step 5: Create new sections in the Sections folder for all nexa-*.liquid files.</w:t>
        <w:br/>
        <w:t>Step 6: Create or replace templates (index.json, product.nexa-pdp.json, page.setup-builder.json, page.compare.json).</w:t>
        <w:br/>
        <w:t>Step 7: In Shopify Admin &gt; Pages, create Find My Setup (template: page.setup-builder) and Compare Docks (template: page.compare).</w:t>
      </w:r>
    </w:p>
    <w:p>
      <w:pPr>
        <w:pStyle w:val="Heading1"/>
      </w:pPr>
      <w:r>
        <w:t>5. Cart Line Item Attributes &amp; Checkout</w:t>
      </w:r>
    </w:p>
    <w:p>
      <w:r>
        <w:t>Configured bundles seamlessly submit line items with properties:</w:t>
        <w:br/>
        <w:t>• _SetupReference: Generates unique bundle identifiers (e.g. Setup #1042).</w:t>
        <w:br/>
        <w:t>• _DeviceProfile: Carries host platform information (e.g. Studio 100 Verified).</w:t>
        <w:br/>
        <w:t>• Free Shipping Bar: Dynamically calculates remaining order value towards the £300 free UK delivery tier.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