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מדיניות חופשה שנתית</w:t>
      </w:r>
    </w:p>
    <w:p>
      <w:pPr>
        <w:bidi/>
      </w:pPr>
      <w:r>
        <w:rPr>
          <w:rtl/>
        </w:rPr>
        <w:t>גרסה 3.1 | בתוקף מ-01.01.2025 | באחריות צוות משאבי אנוש</w:t>
      </w:r>
    </w:p>
    <w:p>
      <w:pPr>
        <w:pStyle w:val="Heading1"/>
        <w:bidi/>
      </w:pPr>
      <w:r>
        <w:rPr>
          <w:rtl/>
        </w:rPr>
        <w:t>1. מטרה</w:t>
      </w:r>
    </w:p>
    <w:p>
      <w:pPr>
        <w:bidi/>
      </w:pPr>
      <w:r>
        <w:rPr>
          <w:rtl/>
        </w:rPr>
        <w:t>מסמך זה מסדיר את זכאות העובדים לימי חופשה שנתית ואת אופן הגשת בקשות החופשה.</w:t>
      </w:r>
    </w:p>
    <w:p>
      <w:pPr>
        <w:pStyle w:val="Heading1"/>
        <w:bidi/>
      </w:pPr>
      <w:r>
        <w:rPr>
          <w:rtl/>
        </w:rPr>
        <w:t>2. תחולה</w:t>
      </w:r>
    </w:p>
    <w:p>
      <w:pPr>
        <w:bidi/>
      </w:pPr>
      <w:r>
        <w:rPr>
          <w:rtl/>
        </w:rPr>
        <w:t>המדיניות חלה על כל עובדי תובנה במשרה מלאה. עובדים במשרה חלקית זכאים לימי חופשה באופן יחסי להיקף המשרה.</w:t>
      </w:r>
    </w:p>
    <w:p>
      <w:pPr>
        <w:pStyle w:val="Heading1"/>
        <w:bidi/>
      </w:pPr>
      <w:r>
        <w:rPr>
          <w:rtl/>
        </w:rPr>
        <w:t>3. מכסת ימי חופשה</w:t>
      </w:r>
    </w:p>
    <w:p>
      <w:pPr>
        <w:bidi/>
      </w:pPr>
      <w:r>
        <w:rPr>
          <w:rtl/>
        </w:rPr>
        <w:t>מכסת ימי החופשה נקבעת לפי הוותק בחברה: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pPr>
              <w:bidi/>
            </w:pPr>
            <w:r>
              <w:rPr>
                <w:b/>
                <w:bCs/>
                <w:rtl/>
              </w:rPr>
              <w:t>ותק בחברה</w:t>
            </w:r>
          </w:p>
        </w:tc>
        <w:tc>
          <w:tcPr>
            <w:tcW w:type="dxa" w:w="4706"/>
            <w:shd w:val="clear" w:color="auto" w:fill="D9E2F3"/>
          </w:tcPr>
          <w:p>
            <w:pPr>
              <w:bidi/>
            </w:pPr>
            <w:r>
              <w:rPr>
                <w:b/>
                <w:bCs/>
                <w:rtl/>
              </w:rPr>
              <w:t>ימי חופשה בשנה</w:t>
            </w:r>
          </w:p>
        </w:tc>
      </w:tr>
      <w:tr>
        <w:tc>
          <w:tcPr>
            <w:tcW w:type="dxa" w:w="4706"/>
          </w:tcPr>
          <w:p>
            <w:pPr>
              <w:bidi/>
            </w:pPr>
            <w:r>
              <w:rPr>
                <w:rtl/>
              </w:rPr>
              <w:t>שנים 1–3</w:t>
            </w:r>
          </w:p>
        </w:tc>
        <w:tc>
          <w:tcPr>
            <w:tcW w:type="dxa" w:w="4706"/>
          </w:tcPr>
          <w:p>
            <w:r>
              <w:t>18</w:t>
            </w:r>
          </w:p>
        </w:tc>
      </w:tr>
      <w:tr>
        <w:tc>
          <w:tcPr>
            <w:tcW w:type="dxa" w:w="4706"/>
          </w:tcPr>
          <w:p>
            <w:pPr>
              <w:bidi/>
            </w:pPr>
            <w:r>
              <w:rPr>
                <w:rtl/>
              </w:rPr>
              <w:t>שנים 4–6</w:t>
            </w:r>
          </w:p>
        </w:tc>
        <w:tc>
          <w:tcPr>
            <w:tcW w:type="dxa" w:w="4706"/>
          </w:tcPr>
          <w:p>
            <w:r>
              <w:t>21</w:t>
            </w:r>
          </w:p>
        </w:tc>
      </w:tr>
      <w:tr>
        <w:tc>
          <w:tcPr>
            <w:tcW w:type="dxa" w:w="4706"/>
          </w:tcPr>
          <w:p>
            <w:pPr>
              <w:bidi/>
            </w:pPr>
            <w:r>
              <w:rPr>
                <w:rtl/>
              </w:rPr>
              <w:t>משנה 7 ואילך</w:t>
            </w:r>
          </w:p>
        </w:tc>
        <w:tc>
          <w:tcPr>
            <w:tcW w:type="dxa" w:w="4706"/>
          </w:tcPr>
          <w:p>
            <w:r>
              <w:t>24</w:t>
            </w:r>
          </w:p>
        </w:tc>
      </w:tr>
    </w:tbl>
    <w:p/>
    <w:p>
      <w:pPr>
        <w:pStyle w:val="Heading1"/>
        <w:bidi/>
      </w:pPr>
      <w:r>
        <w:rPr>
          <w:rtl/>
        </w:rPr>
        <w:t>4. צבירת ימי חופשה</w:t>
      </w:r>
    </w:p>
    <w:p>
      <w:pPr>
        <w:bidi/>
      </w:pPr>
      <w:r>
        <w:rPr>
          <w:rtl/>
        </w:rPr>
        <w:t xml:space="preserve">ניתן לצבור עד </w:t>
      </w:r>
      <w:r>
        <w:rPr>
          <w:b/>
          <w:bCs/>
          <w:rtl/>
        </w:rPr>
        <w:t>30 ימי חופשה</w:t>
      </w:r>
      <w:r>
        <w:rPr>
          <w:rtl/>
        </w:rPr>
        <w:t>. ימים מעבר לכך אינם עוברים לשנה הבאה, ולכן מומלץ לתכנן חופשות לאורך השנה.</w:t>
      </w:r>
    </w:p>
    <w:p>
      <w:pPr>
        <w:pStyle w:val="Heading1"/>
        <w:bidi/>
      </w:pPr>
      <w:r>
        <w:rPr>
          <w:rtl/>
        </w:rPr>
        <w:t>5. הגשת בקשה</w:t>
      </w:r>
    </w:p>
    <w:p>
      <w:pPr>
        <w:bidi/>
        <w:spacing w:after="40"/>
        <w:ind w:left="340"/>
      </w:pPr>
      <w:r>
        <w:rPr>
          <w:rtl/>
        </w:rPr>
        <w:t>• חופשה של עד 3 ימים: בקשה ב'תובנה-נט' לפחות 3 ימי עבודה מראש.</w:t>
      </w:r>
    </w:p>
    <w:p>
      <w:pPr>
        <w:bidi/>
        <w:spacing w:after="40"/>
        <w:ind w:left="340"/>
      </w:pPr>
      <w:r>
        <w:rPr>
          <w:rtl/>
        </w:rPr>
        <w:t>• חופשה של יותר מ-3 ימים רצופים: בקשה לפחות 14 יום מראש, באישור המנהל הישיר.</w:t>
      </w:r>
    </w:p>
    <w:p>
      <w:pPr>
        <w:pStyle w:val="Heading1"/>
        <w:bidi/>
      </w:pPr>
      <w:r>
        <w:rPr>
          <w:rtl/>
        </w:rPr>
        <w:t>6. חופשה מרוכזת</w:t>
      </w:r>
    </w:p>
    <w:p>
      <w:pPr>
        <w:bidi/>
      </w:pPr>
      <w:r>
        <w:rPr>
          <w:rtl/>
        </w:rPr>
        <w:t>החברה סגורה בחול המועד סוכות. ימים אלה יורדים ממכסת החופשה של העובד.</w:t>
      </w:r>
    </w:p>
    <w:p>
      <w:pPr>
        <w:pStyle w:val="Heading1"/>
        <w:bidi/>
      </w:pPr>
      <w:r>
        <w:rPr>
          <w:rtl/>
        </w:rPr>
        <w:t>7. פניות</w:t>
      </w:r>
    </w:p>
    <w:p>
      <w:pPr>
        <w:bidi/>
      </w:pPr>
      <w:r>
        <w:rPr>
          <w:rtl/>
        </w:rPr>
        <w:t>שאלות בנושא חופשות יש להפנות לכתובת hr@tovana.example.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rPr>
        <w:color w:val="666666"/>
        <w:sz w:val="18"/>
        <w:rtl/>
      </w:rPr>
      <w:t xml:space="preserve">HR-001 | גרסה 3.1 | עמוד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>
      <w:rPr>
        <w:color w:val="666666"/>
        <w:sz w:val="18"/>
        <w:rtl/>
      </w:rPr>
      <w:t>תובנה בע״מ | משאבי אנוש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מדיניות חופשה שנתית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