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6DEF" w:rsidRDefault="001C769E">
      <w:pPr>
        <w:spacing w:after="240"/>
        <w:rPr>
          <w:b/>
          <w:bCs/>
        </w:rPr>
      </w:pPr>
      <w:r>
        <w:rPr>
          <w:b/>
          <w:bCs/>
        </w:rPr>
        <w:t>Documento Técnico-Pedagógico: Jogo Digital de Organização Silábica (sem nome definitivo)</w:t>
      </w:r>
    </w:p>
    <w:p w:rsidR="004C6DEF" w:rsidRDefault="001C769E">
      <w:pPr>
        <w:spacing w:after="240"/>
      </w:pPr>
      <w:r>
        <w:t>Este documento apresenta a proposta do jogo educativo digital voltado às ações do Núcleo de Apoio a Pessoas com Necessidades Específicas (NAPNE), unindo tecnologia assistiva e práticas pedagógicas inclusivas para o desenvolvimento da consciência fonológica</w:t>
      </w:r>
      <w:r>
        <w:t xml:space="preserve"> e da discriminação visual.</w:t>
      </w:r>
    </w:p>
    <w:p w:rsidR="004C6DEF" w:rsidRDefault="001C769E">
      <w:pPr>
        <w:spacing w:after="240"/>
      </w:pPr>
      <w:r>
        <w:rPr>
          <w:b/>
          <w:bCs/>
        </w:rPr>
        <w:t>1. Objetivos Pedagógicos e Público-Alvo</w:t>
      </w:r>
      <w:r>
        <w:t xml:space="preserve"> O recurso é direcionado a estudantes acompanhados pelo NAPNE, incluindo alunos com Transtorno do Espectro Autista (TEA), TDAH, Deficiência Intelectual e transtornos de aprendizagem.</w:t>
      </w:r>
    </w:p>
    <w:p w:rsidR="004C6DEF" w:rsidRDefault="001C769E">
      <w:pPr>
        <w:numPr>
          <w:ilvl w:val="0"/>
          <w:numId w:val="1"/>
        </w:numPr>
      </w:pPr>
      <w:r>
        <w:rPr>
          <w:b/>
          <w:bCs/>
        </w:rPr>
        <w:t>Segmen</w:t>
      </w:r>
      <w:r>
        <w:rPr>
          <w:b/>
          <w:bCs/>
        </w:rPr>
        <w:t>tação Silábica:</w:t>
      </w:r>
      <w:r>
        <w:t xml:space="preserve"> Promove o reconhecimento e a manipulação da estrutura interna de palavras trissílabas.</w:t>
      </w:r>
    </w:p>
    <w:p w:rsidR="004C6DEF" w:rsidRDefault="001C769E">
      <w:pPr>
        <w:numPr>
          <w:ilvl w:val="0"/>
          <w:numId w:val="1"/>
        </w:numPr>
      </w:pPr>
      <w:r>
        <w:rPr>
          <w:b/>
          <w:bCs/>
        </w:rPr>
        <w:t>Sequenciamento Lógico-Espacial:</w:t>
      </w:r>
      <w:r>
        <w:t xml:space="preserve"> Estimula a ordenação hierárquica das unidades linguísticas.</w:t>
      </w:r>
    </w:p>
    <w:p w:rsidR="004C6DEF" w:rsidRDefault="001C769E">
      <w:pPr>
        <w:numPr>
          <w:ilvl w:val="0"/>
          <w:numId w:val="1"/>
        </w:numPr>
      </w:pPr>
      <w:r>
        <w:rPr>
          <w:b/>
          <w:bCs/>
        </w:rPr>
        <w:t>Pareamento Multissensorial:</w:t>
      </w:r>
      <w:r>
        <w:t xml:space="preserve"> Une pistas visuais de cores e ima</w:t>
      </w:r>
      <w:r>
        <w:t>gens ao código escrito para facilitar a alfabetização.</w:t>
      </w:r>
    </w:p>
    <w:p w:rsidR="004C6DEF" w:rsidRDefault="001C769E">
      <w:pPr>
        <w:numPr>
          <w:ilvl w:val="0"/>
          <w:numId w:val="1"/>
        </w:numPr>
        <w:spacing w:after="240"/>
      </w:pPr>
      <w:r>
        <w:rPr>
          <w:b/>
          <w:bCs/>
        </w:rPr>
        <w:t>Desenvolvimento Motora e Foco:</w:t>
      </w:r>
      <w:r>
        <w:t xml:space="preserve"> Exercita a coordenação </w:t>
      </w:r>
      <w:proofErr w:type="spellStart"/>
      <w:r>
        <w:t>visuomotora</w:t>
      </w:r>
      <w:proofErr w:type="spellEnd"/>
      <w:r>
        <w:t xml:space="preserve"> e a atenção sustentada por meio da interação com as peças.</w:t>
      </w:r>
    </w:p>
    <w:p w:rsidR="004C6DEF" w:rsidRDefault="001C769E">
      <w:pPr>
        <w:spacing w:after="240"/>
        <w:rPr>
          <w:b/>
          <w:bCs/>
        </w:rPr>
      </w:pPr>
      <w:r>
        <w:rPr>
          <w:b/>
          <w:bCs/>
        </w:rPr>
        <w:t>2. Mecânica do Jogo e Usabilidade</w:t>
      </w:r>
    </w:p>
    <w:p w:rsidR="004C6DEF" w:rsidRDefault="001C769E">
      <w:pPr>
        <w:numPr>
          <w:ilvl w:val="0"/>
          <w:numId w:val="2"/>
        </w:numPr>
      </w:pPr>
      <w:r>
        <w:rPr>
          <w:b/>
          <w:bCs/>
        </w:rPr>
        <w:t>Padronização Trissílaba:</w:t>
      </w:r>
      <w:r>
        <w:t xml:space="preserve"> O jogo utiliza ex</w:t>
      </w:r>
      <w:r>
        <w:t>clusivamente palavras de 3 sílabas agrupadas em nichos temáticos para manter a carga cognitiva sob controle.</w:t>
      </w:r>
    </w:p>
    <w:p w:rsidR="004C6DEF" w:rsidRDefault="001C769E">
      <w:pPr>
        <w:numPr>
          <w:ilvl w:val="0"/>
          <w:numId w:val="2"/>
        </w:numPr>
      </w:pPr>
      <w:r>
        <w:rPr>
          <w:b/>
          <w:bCs/>
        </w:rPr>
        <w:t>Desafio de Ordenação:</w:t>
      </w:r>
      <w:r>
        <w:t xml:space="preserve"> O objetivo principal é organizar as sílabas desordenadas até que formem a palavra correta.</w:t>
      </w:r>
    </w:p>
    <w:p w:rsidR="004C6DEF" w:rsidRDefault="001C769E">
      <w:pPr>
        <w:numPr>
          <w:ilvl w:val="0"/>
          <w:numId w:val="2"/>
        </w:numPr>
      </w:pPr>
      <w:r>
        <w:rPr>
          <w:b/>
          <w:bCs/>
        </w:rPr>
        <w:t>Orientação Espacial em Definição:</w:t>
      </w:r>
      <w:r>
        <w:t xml:space="preserve"> </w:t>
      </w:r>
      <w:r>
        <w:t>A área de montagem das sílabas pode ser ajustada no sentido de cima para baixo (Top-Down, leitura convencional) ou de baixo para cima (</w:t>
      </w:r>
      <w:proofErr w:type="spellStart"/>
      <w:r>
        <w:t>Bottom-Up</w:t>
      </w:r>
      <w:proofErr w:type="spellEnd"/>
      <w:r>
        <w:t>, empilhamento construtivo).</w:t>
      </w:r>
    </w:p>
    <w:p w:rsidR="004C6DEF" w:rsidRDefault="001C769E">
      <w:pPr>
        <w:numPr>
          <w:ilvl w:val="0"/>
          <w:numId w:val="2"/>
        </w:numPr>
        <w:spacing w:after="240"/>
      </w:pPr>
      <w:r>
        <w:rPr>
          <w:b/>
          <w:bCs/>
        </w:rPr>
        <w:t>Sistema de Cores (Dupla Codificação):</w:t>
      </w:r>
      <w:r>
        <w:t xml:space="preserve"> Cada palavra possui uma cor de identificação </w:t>
      </w:r>
      <w:r>
        <w:t>correspondente ilustrada no cabeçalho, e as fichas das sílabas seguem a mesma paleta visual.</w:t>
      </w:r>
    </w:p>
    <w:p w:rsidR="004C6DEF" w:rsidRDefault="001C769E">
      <w:pPr>
        <w:spacing w:after="240"/>
      </w:pPr>
      <w:r>
        <w:rPr>
          <w:b/>
          <w:bCs/>
        </w:rPr>
        <w:t>3. Protótipo de Interface (Exemplo: Nicho Frutas</w:t>
      </w:r>
      <w:proofErr w:type="gramStart"/>
      <w:r>
        <w:rPr>
          <w:b/>
          <w:bCs/>
        </w:rPr>
        <w:t>)</w:t>
      </w:r>
      <w:r>
        <w:t xml:space="preserve"> Elaborado</w:t>
      </w:r>
      <w:proofErr w:type="gramEnd"/>
      <w:r>
        <w:t xml:space="preserve"> na ferramenta </w:t>
      </w:r>
      <w:proofErr w:type="spellStart"/>
      <w:r>
        <w:t>Canva</w:t>
      </w:r>
      <w:proofErr w:type="spellEnd"/>
      <w:r>
        <w:t xml:space="preserve"> para testes de interface e fluxo visual, o protótipo do nicho "Frutas Trissílabas" </w:t>
      </w:r>
      <w:r>
        <w:t>organiza-se da seguinte forma:</w:t>
      </w:r>
    </w:p>
    <w:tbl>
      <w:tblPr>
        <w:tblStyle w:val="a"/>
        <w:tblW w:w="8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65"/>
        <w:gridCol w:w="2280"/>
        <w:gridCol w:w="3075"/>
      </w:tblGrid>
      <w:tr w:rsidR="004C6DEF">
        <w:trPr>
          <w:trHeight w:val="825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t>Palavra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t>Estrutura Silábica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t>Cor de Identificação</w:t>
            </w:r>
          </w:p>
        </w:tc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t>Elemento do Cabeçalho</w:t>
            </w:r>
          </w:p>
        </w:tc>
      </w:tr>
      <w:tr w:rsidR="004C6DEF">
        <w:trPr>
          <w:trHeight w:val="825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t>Banana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BA - NA - NA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Amarelo Vibrante</w:t>
            </w:r>
          </w:p>
        </w:tc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 xml:space="preserve">Ilustração de Banana + </w:t>
            </w:r>
            <w:proofErr w:type="spellStart"/>
            <w:r>
              <w:t>Card</w:t>
            </w:r>
            <w:proofErr w:type="spellEnd"/>
            <w:r>
              <w:t xml:space="preserve"> Amarelo</w:t>
            </w:r>
          </w:p>
        </w:tc>
      </w:tr>
      <w:tr w:rsidR="004C6DEF">
        <w:trPr>
          <w:trHeight w:val="825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lastRenderedPageBreak/>
              <w:t>Pitanga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PI - TAN - GA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Vermelho Pitanga</w:t>
            </w:r>
          </w:p>
        </w:tc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 xml:space="preserve">Ilustração de Pitanga + </w:t>
            </w:r>
            <w:proofErr w:type="spellStart"/>
            <w:r>
              <w:t>Card</w:t>
            </w:r>
            <w:proofErr w:type="spellEnd"/>
            <w:r>
              <w:t xml:space="preserve"> Vermelho</w:t>
            </w:r>
          </w:p>
        </w:tc>
      </w:tr>
      <w:tr w:rsidR="004C6DEF">
        <w:trPr>
          <w:trHeight w:val="825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t>Goiaba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GOI - A - BA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Verde Goiaba</w:t>
            </w:r>
          </w:p>
        </w:tc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 xml:space="preserve">Ilustração de Goiaba + </w:t>
            </w:r>
            <w:proofErr w:type="spellStart"/>
            <w:r>
              <w:t>Card</w:t>
            </w:r>
            <w:proofErr w:type="spellEnd"/>
            <w:r>
              <w:t xml:space="preserve"> Verde</w:t>
            </w:r>
          </w:p>
        </w:tc>
      </w:tr>
      <w:tr w:rsidR="004C6DEF">
        <w:trPr>
          <w:trHeight w:val="825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t>Cereja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CE - RE - JA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Vinho / Cereja</w:t>
            </w:r>
          </w:p>
        </w:tc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 xml:space="preserve">Ilustração de Cereja + </w:t>
            </w:r>
            <w:proofErr w:type="spellStart"/>
            <w:r>
              <w:t>Card</w:t>
            </w:r>
            <w:proofErr w:type="spellEnd"/>
            <w:r>
              <w:t xml:space="preserve"> Bordô</w:t>
            </w:r>
          </w:p>
        </w:tc>
      </w:tr>
      <w:tr w:rsidR="004C6DEF">
        <w:trPr>
          <w:trHeight w:val="825"/>
        </w:trPr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rPr>
                <w:b/>
                <w:bCs/>
              </w:rPr>
              <w:t>Morango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MO - RAN - GO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>Rosa / Vermelho</w:t>
            </w:r>
          </w:p>
        </w:tc>
        <w:tc>
          <w:tcPr>
            <w:tcW w:w="3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C6DEF" w:rsidRDefault="001C769E">
            <w:pPr>
              <w:spacing w:after="480"/>
            </w:pPr>
            <w:r>
              <w:t xml:space="preserve">Ilustração de Morango + </w:t>
            </w:r>
            <w:proofErr w:type="spellStart"/>
            <w:r>
              <w:t>Card</w:t>
            </w:r>
            <w:proofErr w:type="spellEnd"/>
            <w:r>
              <w:t xml:space="preserve"> Rosado</w:t>
            </w:r>
          </w:p>
        </w:tc>
      </w:tr>
    </w:tbl>
    <w:p w:rsidR="004C6DEF" w:rsidRDefault="001C769E">
      <w:pPr>
        <w:spacing w:after="240"/>
        <w:rPr>
          <w:b/>
          <w:bCs/>
        </w:rPr>
      </w:pPr>
      <w:r>
        <w:rPr>
          <w:b/>
          <w:bCs/>
        </w:rPr>
        <w:t>4. Justificativa de Acessibilidade no AEE</w:t>
      </w:r>
    </w:p>
    <w:p w:rsidR="004C6DEF" w:rsidRDefault="001C769E">
      <w:pPr>
        <w:numPr>
          <w:ilvl w:val="0"/>
          <w:numId w:val="3"/>
        </w:numPr>
      </w:pPr>
      <w:r>
        <w:rPr>
          <w:b/>
          <w:bCs/>
        </w:rPr>
        <w:t>Suporte Cognitivo:</w:t>
      </w:r>
      <w:r>
        <w:t xml:space="preserve"> A associação redundante entre cor, imagem e palavra reduz a sobrecarga da memória de trabalho do estudante.</w:t>
      </w:r>
    </w:p>
    <w:p w:rsidR="004C6DEF" w:rsidRDefault="001C769E">
      <w:pPr>
        <w:numPr>
          <w:ilvl w:val="0"/>
          <w:numId w:val="3"/>
        </w:numPr>
      </w:pPr>
      <w:r>
        <w:rPr>
          <w:b/>
          <w:bCs/>
        </w:rPr>
        <w:t>Flexibilidade para o PEI:</w:t>
      </w:r>
      <w:r>
        <w:t xml:space="preserve"> A estrutura modular permite criar novos módulos temáticos (animais, transporte, objetos) alinhados ao P</w:t>
      </w:r>
      <w:r>
        <w:t>lano de Ensino Individualizado de cada aluno.</w:t>
      </w:r>
    </w:p>
    <w:p w:rsidR="004C6DEF" w:rsidRDefault="001C769E">
      <w:pPr>
        <w:numPr>
          <w:ilvl w:val="0"/>
          <w:numId w:val="3"/>
        </w:numPr>
        <w:spacing w:after="240"/>
      </w:pPr>
      <w:r>
        <w:rPr>
          <w:b/>
          <w:bCs/>
        </w:rPr>
        <w:t>Engajamento Operacional:</w:t>
      </w:r>
      <w:r>
        <w:t xml:space="preserve"> O feedback visual imediato e o dinamismo de arrastar elementos favorecem a manutenção da atenção de estudantes com TDAH.</w:t>
      </w:r>
    </w:p>
    <w:p w:rsidR="004C6DEF" w:rsidRDefault="001C769E">
      <w:pPr>
        <w:spacing w:after="240"/>
      </w:pPr>
      <w:r>
        <w:rPr>
          <w:b/>
          <w:bCs/>
        </w:rPr>
        <w:t xml:space="preserve">Link do </w:t>
      </w:r>
      <w:proofErr w:type="spellStart"/>
      <w:r>
        <w:rPr>
          <w:b/>
          <w:bCs/>
        </w:rPr>
        <w:t>canva</w:t>
      </w:r>
      <w:proofErr w:type="spellEnd"/>
      <w:r>
        <w:rPr>
          <w:b/>
          <w:bCs/>
        </w:rPr>
        <w:t>:</w:t>
      </w:r>
    </w:p>
    <w:p w:rsidR="004C6DEF" w:rsidRPr="001C769E" w:rsidRDefault="001C769E">
      <w:pPr>
        <w:rPr>
          <w:bCs/>
        </w:rPr>
      </w:pPr>
      <w:r w:rsidRPr="001C769E">
        <w:rPr>
          <w:bCs/>
        </w:rPr>
        <w:t>https://canva.link/fvjsggksgchiz</w:t>
      </w:r>
      <w:bookmarkStart w:id="0" w:name="_GoBack"/>
      <w:bookmarkEnd w:id="0"/>
      <w:r w:rsidRPr="001C769E">
        <w:rPr>
          <w:bCs/>
        </w:rPr>
        <w:t>ee</w:t>
      </w:r>
    </w:p>
    <w:sectPr w:rsidR="004C6DEF" w:rsidRPr="001C76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32BA55-BB53-40D4-BCEE-EA99CE2876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B94C5F-4D1D-47BB-937A-55BD6D27FD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F472A7"/>
    <w:multiLevelType w:val="multilevel"/>
    <w:tmpl w:val="7070EA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283087"/>
    <w:multiLevelType w:val="multilevel"/>
    <w:tmpl w:val="E7A8AC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A70067"/>
    <w:multiLevelType w:val="multilevel"/>
    <w:tmpl w:val="2E7E0C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DEF"/>
    <w:rsid w:val="001C769E"/>
    <w:rsid w:val="004C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09B92"/>
  <w15:docId w15:val="{A8B302E4-9C28-4ABA-99F0-67CEFF64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Eduarda Barbosa Batista</cp:lastModifiedBy>
  <cp:revision>2</cp:revision>
  <dcterms:created xsi:type="dcterms:W3CDTF">2026-08-20T16:17:00Z</dcterms:created>
  <dcterms:modified xsi:type="dcterms:W3CDTF">2026-08-20T16:19:00Z</dcterms:modified>
</cp:coreProperties>
</file>