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Documento Técnico-Pedagógico: Jogo Digital de Organização Silábica (sem nome definitivo)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rtl w:val="0"/>
        </w:rPr>
        <w:t xml:space="preserve">Este documento apresenta a proposta do jogo educativo digital voltado às ações do Núcleo de Apoio a Pessoas com Necessidades Específicas (NAPNE), unindo tecnologia assistiva e práticas pedagógicas inclusivas para o desenvolvimento da consciência fonológica e da discriminação visual.</w:t>
      </w:r>
    </w:p>
    <w:p w:rsidR="00000000" w:rsidDel="00000000" w:rsidP="00000000" w:rsidRDefault="00000000" w:rsidRPr="00000000" w14:paraId="00000003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 Objetivos Pedagógicos e Público-Alvo</w:t>
      </w:r>
      <w:r w:rsidDel="00000000" w:rsidR="00000000" w:rsidRPr="00000000">
        <w:rPr>
          <w:rtl w:val="0"/>
        </w:rPr>
        <w:t xml:space="preserve"> O recurso é direcionado a estudantes acompanhados pelo NAPNE, incluindo alunos com Transtorno do Espectro Autista (TEA), TDAH, Deficiência Intelectual e transtornos de aprendizagem.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Segmentação Silábica:</w:t>
      </w:r>
      <w:r w:rsidDel="00000000" w:rsidR="00000000" w:rsidRPr="00000000">
        <w:rPr>
          <w:rtl w:val="0"/>
        </w:rPr>
        <w:t xml:space="preserve"> Promove o reconhecimento e a manipulação da estrutura interna de palavras trissílabas.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Sequenciamento Lógico-Espacial:</w:t>
      </w:r>
      <w:r w:rsidDel="00000000" w:rsidR="00000000" w:rsidRPr="00000000">
        <w:rPr>
          <w:rtl w:val="0"/>
        </w:rPr>
        <w:t xml:space="preserve"> Estimula a ordenação hierárquica das unidades linguísticas.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Pareamento Multissensorial:</w:t>
      </w:r>
      <w:r w:rsidDel="00000000" w:rsidR="00000000" w:rsidRPr="00000000">
        <w:rPr>
          <w:rtl w:val="0"/>
        </w:rPr>
        <w:t xml:space="preserve"> Une pistas visuais de cores e imagens ao código escrito para facilitar a alfabetização.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Desenvolvimento Motora e Foco:</w:t>
      </w:r>
      <w:r w:rsidDel="00000000" w:rsidR="00000000" w:rsidRPr="00000000">
        <w:rPr>
          <w:rtl w:val="0"/>
        </w:rPr>
        <w:t xml:space="preserve"> Exercita a coordenação visuomotora e a atenção sustentada por meio da interação com as peças.</w:t>
      </w:r>
    </w:p>
    <w:p w:rsidR="00000000" w:rsidDel="00000000" w:rsidP="00000000" w:rsidRDefault="00000000" w:rsidRPr="00000000" w14:paraId="00000008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Mecânica do Jogo e Usabilidade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Padronização Trissílaba:</w:t>
      </w:r>
      <w:r w:rsidDel="00000000" w:rsidR="00000000" w:rsidRPr="00000000">
        <w:rPr>
          <w:rtl w:val="0"/>
        </w:rPr>
        <w:t xml:space="preserve"> O jogo utiliza exclusivamente palavras de 3 sílabas agrupadas em nichos temáticos para manter a carga cognitiva sob controle.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Desafio de Ordenação:</w:t>
      </w:r>
      <w:r w:rsidDel="00000000" w:rsidR="00000000" w:rsidRPr="00000000">
        <w:rPr>
          <w:rtl w:val="0"/>
        </w:rPr>
        <w:t xml:space="preserve"> O objetivo principal é organizar as sílabas desordenadas até que formem a palavra correta.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Orientação Espacial em Definição:</w:t>
      </w:r>
      <w:r w:rsidDel="00000000" w:rsidR="00000000" w:rsidRPr="00000000">
        <w:rPr>
          <w:rtl w:val="0"/>
        </w:rPr>
        <w:t xml:space="preserve"> A área de montagem das sílabas pode ser ajustada no sentido de cima para baixo (Top-Down, leitura convencional) ou de baixo para cima (Bottom-Up, empilhamento construtivo).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Sistema de Cores (Dupla Codificação):</w:t>
      </w:r>
      <w:r w:rsidDel="00000000" w:rsidR="00000000" w:rsidRPr="00000000">
        <w:rPr>
          <w:rtl w:val="0"/>
        </w:rPr>
        <w:t xml:space="preserve"> Cada palavra possui uma cor de identificação correspondente ilustrada no cabeçalho, e as fichas das sílabas seguem a mesma paleta visual.</w:t>
      </w:r>
    </w:p>
    <w:p w:rsidR="00000000" w:rsidDel="00000000" w:rsidP="00000000" w:rsidRDefault="00000000" w:rsidRPr="00000000" w14:paraId="0000000D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 Protótipo de Interface (Exemplo: Nicho Frutas)</w:t>
      </w:r>
      <w:r w:rsidDel="00000000" w:rsidR="00000000" w:rsidRPr="00000000">
        <w:rPr>
          <w:rtl w:val="0"/>
        </w:rPr>
        <w:t xml:space="preserve"> Elaborado na ferramenta Canva para testes de interface e fluxo visual, o protótipo do nicho "Frutas Trissílabas" organiza-se da seguinte forma:</w:t>
      </w:r>
    </w:p>
    <w:tbl>
      <w:tblPr>
        <w:tblStyle w:val="Table1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0"/>
        <w:gridCol w:w="1965"/>
        <w:gridCol w:w="2280"/>
        <w:gridCol w:w="3075"/>
        <w:tblGridChange w:id="0">
          <w:tblGrid>
            <w:gridCol w:w="1410"/>
            <w:gridCol w:w="1965"/>
            <w:gridCol w:w="2280"/>
            <w:gridCol w:w="307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Palavra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Estrutura Silábica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Cor de Identificação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Elemento do Cabeçalho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Banana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BA - NA - NA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Amarelo Vibrante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Ilustração de Banana + Card Amarelo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Pitanga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PI - TAN - GA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Vermelho Pitanga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Ilustração de Pitanga + Card Vermelho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Goiaba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GOI - A - BA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Verde Goiaba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Ilustração de Goiaba + Card Verde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Cereja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CE - RE - JA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Vinho / Cereja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Ilustração de Cereja + Card Bordô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Morango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 - RAN - GO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Rosa / Vermelho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Ilustração de Morango + Card Rosado</w:t>
            </w:r>
          </w:p>
        </w:tc>
      </w:tr>
    </w:tbl>
    <w:p w:rsidR="00000000" w:rsidDel="00000000" w:rsidP="00000000" w:rsidRDefault="00000000" w:rsidRPr="00000000" w14:paraId="00000026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Justificativa de Acessibilidade no AEE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Suporte Cognitivo:</w:t>
      </w:r>
      <w:r w:rsidDel="00000000" w:rsidR="00000000" w:rsidRPr="00000000">
        <w:rPr>
          <w:rtl w:val="0"/>
        </w:rPr>
        <w:t xml:space="preserve"> A associação redundante entre cor, imagem e palavra reduz a sobrecarga da memória de trabalho do estudante.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Flexibilidade para o PEI:</w:t>
      </w:r>
      <w:r w:rsidDel="00000000" w:rsidR="00000000" w:rsidRPr="00000000">
        <w:rPr>
          <w:rtl w:val="0"/>
        </w:rPr>
        <w:t xml:space="preserve"> A estrutura modular permite criar novos módulos temáticos (animais, transporte, objetos) alinhados ao Plano de Ensino Individualizado de cada aluno.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Engajamento Operacional:</w:t>
      </w:r>
      <w:r w:rsidDel="00000000" w:rsidR="00000000" w:rsidRPr="00000000">
        <w:rPr>
          <w:rtl w:val="0"/>
        </w:rPr>
        <w:t xml:space="preserve"> O feedback visual imediato e o dinamismo de arrastar elementos favorecem a manutenção da atenção de estudantes com TDAH.</w:t>
      </w:r>
    </w:p>
    <w:p w:rsidR="00000000" w:rsidDel="00000000" w:rsidP="00000000" w:rsidRDefault="00000000" w:rsidRPr="00000000" w14:paraId="0000002A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Link do canva: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lineRule="auto"/>
        <w:rPr/>
      </w:pPr>
      <w:r w:rsidDel="00000000" w:rsidR="00000000" w:rsidRPr="00000000">
        <w:rPr>
          <w:rtl w:val="0"/>
        </w:rPr>
        <w:t xml:space="preserve">https://canva.link/fvjsggksgchizee</w:t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