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color="auto" w:sz="0"/>
          <w:left w:val="none" w:color="auto" w:sz="0"/>
          <w:bottom w:val="none" w:color="auto" w:sz="0"/>
          <w:right w:val="none" w:color="auto" w:sz="0"/>
          <w:insideH w:val="none" w:color="auto" w:sz="0"/>
          <w:insideV w:val="none" w:color="auto" w:sz="0"/>
        </w:tblBorders>
      </w:tblPr>
      <w:tblGrid>
        <w:gridCol w:w="10440"/>
      </w:tblGrid>
      <w:tr>
        <w:tc>
          <w:tcPr>
            <w:tcW w:type="dxa" w:w="10440"/>
            <w:shd w:fill="1F3864" w:val="clear"/>
          </w:tcPr>
          <w:p>
            <w:pPr>
              <w:spacing w:after="40" w:before="120"/>
              <w:jc w:val="center"/>
            </w:pPr>
            <w:r>
              <w:rPr>
                <w:rFonts w:ascii="Arial" w:cs="Arial" w:eastAsia="Arial" w:hAnsi="Arial"/>
                <w:b/>
                <w:bCs/>
                <w:color w:val="FFFFFF"/>
                <w:sz w:val="36"/>
                <w:szCs w:val="36"/>
              </w:rPr>
              <w:t xml:space="preserve">INVESTMENT MEMO</w:t>
            </w:r>
          </w:p>
          <w:p>
            <w:pPr>
              <w:spacing w:after="40" w:before="0"/>
              <w:jc w:val="center"/>
            </w:pPr>
            <w:r>
              <w:rPr>
                <w:rFonts w:ascii="Arial" w:cs="Arial" w:eastAsia="Arial" w:hAnsi="Arial"/>
                <w:b/>
                <w:bCs/>
                <w:color w:val="BDD7EE"/>
                <w:sz w:val="28"/>
                <w:szCs w:val="28"/>
              </w:rPr>
              <w:t xml:space="preserve">Apple Inc. (NASDAQ: AAPL)</w:t>
            </w:r>
          </w:p>
          <w:p>
            <w:pPr>
              <w:spacing w:after="120" w:before="0"/>
              <w:jc w:val="center"/>
            </w:pPr>
            <w:r>
              <w:rPr>
                <w:rFonts w:ascii="Arial" w:cs="Arial" w:eastAsia="Arial" w:hAnsi="Arial"/>
                <w:i/>
                <w:iCs/>
                <w:color w:val="BDD7EE"/>
                <w:sz w:val="20"/>
                <w:szCs w:val="20"/>
              </w:rPr>
              <w:t xml:space="preserve">Equity Research | Corporate Finance Project</w:t>
            </w:r>
          </w:p>
        </w:tc>
      </w:tr>
    </w:tbl>
    <w:p/>
    <w:tbl>
      <w:tblPr>
        <w:tblW w:type="dxa" w:w="10440"/>
        <w:tblBorders>
          <w:top w:val="none" w:color="auto" w:sz="0"/>
          <w:left w:val="none" w:color="auto" w:sz="0"/>
          <w:bottom w:val="none" w:color="auto" w:sz="0"/>
          <w:right w:val="none" w:color="auto" w:sz="0"/>
          <w:insideH w:val="none" w:color="auto" w:sz="0"/>
          <w:insideV w:val="none" w:color="auto" w:sz="0"/>
        </w:tblBorders>
      </w:tblPr>
      <w:tblGrid>
        <w:gridCol w:w="3480"/>
        <w:gridCol w:w="3480"/>
        <w:gridCol w:w="3480"/>
      </w:tblGrid>
      <w:tr>
        <w:tc>
          <w:tcPr>
            <w:tcW w:type="dxa" w:w="3480"/>
            <w:shd w:fill="C55A11" w:val="clear"/>
          </w:tcPr>
          <w:p>
            <w:pPr>
              <w:spacing w:after="80" w:before="80"/>
              <w:jc w:val="center"/>
            </w:pPr>
            <w:r>
              <w:rPr>
                <w:rFonts w:ascii="Arial" w:cs="Arial" w:eastAsia="Arial" w:hAnsi="Arial"/>
                <w:b/>
                <w:bCs/>
                <w:color w:val="FFFFFF"/>
                <w:sz w:val="24"/>
                <w:szCs w:val="24"/>
              </w:rPr>
              <w:t xml:space="preserve">⚠️  HOLD</w:t>
            </w:r>
          </w:p>
        </w:tc>
        <w:tc>
          <w:tcPr>
            <w:tcW w:type="dxa" w:w="3480"/>
            <w:shd w:fill="2E5090" w:val="clear"/>
          </w:tcPr>
          <w:p>
            <w:pPr>
              <w:spacing w:after="80" w:before="80"/>
              <w:jc w:val="center"/>
            </w:pPr>
            <w:r>
              <w:rPr>
                <w:rFonts w:ascii="Arial" w:cs="Arial" w:eastAsia="Arial" w:hAnsi="Arial"/>
                <w:b/>
                <w:bCs/>
                <w:color w:val="FFFFFF"/>
                <w:sz w:val="24"/>
                <w:szCs w:val="24"/>
              </w:rPr>
              <w:t xml:space="preserve">Price Target: $160</w:t>
            </w:r>
          </w:p>
        </w:tc>
        <w:tc>
          <w:tcPr>
            <w:tcW w:type="dxa" w:w="3480"/>
            <w:shd w:fill="375623" w:val="clear"/>
          </w:tcPr>
          <w:p>
            <w:pPr>
              <w:spacing w:after="80" w:before="80"/>
              <w:jc w:val="center"/>
            </w:pPr>
            <w:r>
              <w:rPr>
                <w:rFonts w:ascii="Arial" w:cs="Arial" w:eastAsia="Arial" w:hAnsi="Arial"/>
                <w:b/>
                <w:bCs/>
                <w:color w:val="FFFFFF"/>
                <w:sz w:val="24"/>
                <w:szCs w:val="24"/>
              </w:rPr>
              <w:t xml:space="preserve">Current: $313.36</w:t>
            </w:r>
          </w:p>
        </w:tc>
      </w:tr>
    </w:tbl>
    <w:p/>
    <w:p>
      <w:pPr>
        <w:spacing w:after="120" w:before="0"/>
        <w:jc w:val="left"/>
      </w:pPr>
      <w:r>
        <w:rPr>
          <w:rFonts w:ascii="Arial" w:cs="Arial" w:eastAsia="Arial" w:hAnsi="Arial"/>
          <w:b/>
          <w:bCs/>
          <w:i w:val="false"/>
          <w:iCs w:val="false"/>
          <w:color w:val="1A1A1A"/>
          <w:sz w:val="20"/>
          <w:szCs w:val="20"/>
        </w:rPr>
        <w:t xml:space="preserve">Note: </w:t>
      </w:r>
      <w:r>
        <w:rPr>
          <w:rFonts w:ascii="Arial" w:cs="Arial" w:eastAsia="Arial" w:hAnsi="Arial"/>
          <w:b w:val="false"/>
          <w:bCs w:val="false"/>
          <w:i/>
          <w:iCs/>
          <w:color w:val="1A1A1A"/>
          <w:sz w:val="18"/>
          <w:szCs w:val="18"/>
        </w:rPr>
        <w:t xml:space="preserve">Price target of $160 represents the mid-case scenario (WACC: 9.5%, terminal growth: 2.5%) from a 3-year DCF model (FY2026E–FY2028E). Apple's strong FCF generation and capital return program support a HOLD at current valuations. The market price of $313.36 implies a premium the base-case model does not fully capture, though bull-case assumptions (WACC: 8.5%, g: 3.5%) yield a range of $157–$192 per share.</w:t>
      </w:r>
    </w:p>
    <w:p>
      <w:pPr>
        <w:pBdr>
          <w:bottom w:val="single" w:color="1F3864" w:sz="6"/>
        </w:pBdr>
        <w:spacing w:after="80" w:before="200"/>
      </w:pPr>
      <w:r>
        <w:rPr>
          <w:rFonts w:ascii="Arial" w:cs="Arial" w:eastAsia="Arial" w:hAnsi="Arial"/>
          <w:b/>
          <w:bCs/>
          <w:color w:val="1F3864"/>
          <w:sz w:val="26"/>
          <w:szCs w:val="26"/>
        </w:rPr>
        <w:t xml:space="preserve">1.  Company Overview</w:t>
      </w:r>
    </w:p>
    <w:p>
      <w:pPr>
        <w:spacing w:after="80" w:before="0"/>
        <w:jc w:val="left"/>
      </w:pPr>
      <w:r>
        <w:rPr>
          <w:rFonts w:ascii="Arial" w:cs="Arial" w:eastAsia="Arial" w:hAnsi="Arial"/>
          <w:b w:val="false"/>
          <w:bCs w:val="false"/>
          <w:i w:val="false"/>
          <w:iCs w:val="false"/>
          <w:color w:val="1A1A1A"/>
          <w:sz w:val="20"/>
          <w:szCs w:val="20"/>
        </w:rPr>
        <w:t xml:space="preserve">Apple Inc. (NASDAQ: AAPL) designs, manufactures, and markets consumer electronics, software, and services globally. Its product portfolio includes iPhone, Mac, iPad, and Wearables, while its high-margin Services segment — comprising the App Store, Apple Music, iCloud, and Apple Pay — has become the primary driver of margin expansion. As of FY2025, Apple generated $416B in revenue and $112B in net income, making it one of the most profitable companies in history.</w:t>
      </w:r>
    </w:p>
    <w:p>
      <w:pPr>
        <w:spacing w:after="120" w:before="0"/>
        <w:jc w:val="left"/>
      </w:pPr>
      <w:r>
        <w:rPr>
          <w:rFonts w:ascii="Arial" w:cs="Arial" w:eastAsia="Arial" w:hAnsi="Arial"/>
          <w:b w:val="false"/>
          <w:bCs w:val="false"/>
          <w:i w:val="false"/>
          <w:iCs w:val="false"/>
          <w:color w:val="1A1A1A"/>
          <w:sz w:val="20"/>
          <w:szCs w:val="20"/>
        </w:rPr>
        <w:t xml:space="preserve">Fiscal year ends September. All figures in USD millions unless otherwise stated.</w:t>
      </w:r>
    </w:p>
    <w:p>
      <w:pPr>
        <w:pBdr>
          <w:bottom w:val="single" w:color="1F3864" w:sz="6"/>
        </w:pBdr>
        <w:spacing w:after="80" w:before="200"/>
      </w:pPr>
      <w:r>
        <w:rPr>
          <w:rFonts w:ascii="Arial" w:cs="Arial" w:eastAsia="Arial" w:hAnsi="Arial"/>
          <w:b/>
          <w:bCs/>
          <w:color w:val="1F3864"/>
          <w:sz w:val="26"/>
          <w:szCs w:val="26"/>
        </w:rPr>
        <w:t xml:space="preserve">2.  Investment Thesis</w:t>
      </w:r>
    </w:p>
    <w:p>
      <w:pPr>
        <w:pStyle w:val="ListParagraph"/>
        <w:numPr>
          <w:ilvl w:val="0"/>
          <w:numId w:val="1"/>
        </w:numPr>
        <w:spacing w:after="30" w:before="30"/>
        <w:ind w:left="360" w:hanging="360"/>
      </w:pPr>
      <w:r>
        <w:rPr>
          <w:rFonts w:ascii="Arial" w:cs="Arial" w:eastAsia="Arial" w:hAnsi="Arial"/>
          <w:color w:val="1A1A1A"/>
          <w:sz w:val="19"/>
          <w:szCs w:val="19"/>
        </w:rPr>
        <w:t xml:space="preserve">Services flywheel accelerating: Services revenue grew from $85.2B (FY2023) to $109.2B (FY2025), a ~13% CAGR. With gross margins ~70% vs. ~35% for Products, continued mix shift structurally expands blended margins.</w:t>
      </w:r>
    </w:p>
    <w:p>
      <w:pPr>
        <w:pStyle w:val="ListParagraph"/>
        <w:numPr>
          <w:ilvl w:val="0"/>
          <w:numId w:val="1"/>
        </w:numPr>
        <w:spacing w:after="30" w:before="30"/>
        <w:ind w:left="360" w:hanging="360"/>
      </w:pPr>
      <w:r>
        <w:rPr>
          <w:rFonts w:ascii="Arial" w:cs="Arial" w:eastAsia="Arial" w:hAnsi="Arial"/>
          <w:color w:val="1A1A1A"/>
          <w:sz w:val="19"/>
          <w:szCs w:val="19"/>
        </w:rPr>
        <w:t xml:space="preserve">Capital return engine: Apple returned ~$90.7B in share buybacks in FY2025 alone, reducing diluted share count from ~16.9B (FY2021) to ~15.0B (FY2025). This mechanical EPS accretion supports per-share growth even in flat net income environments.</w:t>
      </w:r>
    </w:p>
    <w:p>
      <w:pPr>
        <w:pStyle w:val="ListParagraph"/>
        <w:numPr>
          <w:ilvl w:val="0"/>
          <w:numId w:val="1"/>
        </w:numPr>
        <w:spacing w:after="30" w:before="30"/>
        <w:ind w:left="360" w:hanging="360"/>
      </w:pPr>
      <w:r>
        <w:rPr>
          <w:rFonts w:ascii="Arial" w:cs="Arial" w:eastAsia="Arial" w:hAnsi="Arial"/>
          <w:color w:val="1A1A1A"/>
          <w:sz w:val="19"/>
          <w:szCs w:val="19"/>
        </w:rPr>
        <w:t xml:space="preserve">Ecosystem lock-in: With ~2.2B active devices, Apple's installed base creates durable switching costs and recurring services monetization opportunities that are difficult to model but meaningful to value.</w:t>
      </w:r>
    </w:p>
    <w:p>
      <w:pPr>
        <w:pStyle w:val="ListParagraph"/>
        <w:numPr>
          <w:ilvl w:val="0"/>
          <w:numId w:val="1"/>
        </w:numPr>
        <w:spacing w:after="30" w:before="30"/>
        <w:ind w:left="360" w:hanging="360"/>
      </w:pPr>
      <w:r>
        <w:rPr>
          <w:rFonts w:ascii="Arial" w:cs="Arial" w:eastAsia="Arial" w:hAnsi="Arial"/>
          <w:color w:val="1A1A1A"/>
          <w:sz w:val="19"/>
          <w:szCs w:val="19"/>
        </w:rPr>
        <w:t xml:space="preserve">Valuation concern: At $313.36, the market is pricing significant growth optionality (AI integration, Vision Pro, India expansion) not yet visible in financials. Base-case DCF implies -60% downside, suggesting the stock is priced for perfection.</w:t>
      </w:r>
    </w:p>
    <w:p/>
    <w:p>
      <w:pPr>
        <w:pBdr>
          <w:bottom w:val="single" w:color="1F3864" w:sz="6"/>
        </w:pBdr>
        <w:spacing w:after="80" w:before="200"/>
      </w:pPr>
      <w:r>
        <w:rPr>
          <w:rFonts w:ascii="Arial" w:cs="Arial" w:eastAsia="Arial" w:hAnsi="Arial"/>
          <w:b/>
          <w:bCs/>
          <w:color w:val="1F3864"/>
          <w:sz w:val="26"/>
          <w:szCs w:val="26"/>
        </w:rPr>
        <w:t xml:space="preserve">3.  Financial Summary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341"/>
        <w:gridCol w:w="1775"/>
        <w:gridCol w:w="1775"/>
        <w:gridCol w:w="1775"/>
        <w:gridCol w:w="1774"/>
      </w:tblGrid>
      <w:tr>
        <w:tc>
          <w:tcPr>
            <w:tcW w:type="dxa" w:w="3341"/>
            <w:shd w:fill="1F3864" w:val="clear"/>
            <w:vAlign w:val="center"/>
          </w:tcPr>
          <w:p>
            <w:pPr>
              <w:spacing w:after="40" w:before="40"/>
              <w:jc w:val="center"/>
            </w:pPr>
            <w:r>
              <w:rPr>
                <w:rFonts w:ascii="Arial" w:cs="Arial" w:eastAsia="Arial" w:hAnsi="Arial"/>
                <w:b/>
                <w:bCs/>
                <w:color w:val="FFFFFF"/>
                <w:sz w:val="18"/>
                <w:szCs w:val="18"/>
              </w:rPr>
              <w:t xml:space="preserve">Metric</w:t>
            </w:r>
          </w:p>
        </w:tc>
        <w:tc>
          <w:tcPr>
            <w:tcW w:type="dxa" w:w="1775"/>
            <w:shd w:fill="1F3864" w:val="clear"/>
            <w:vAlign w:val="center"/>
          </w:tcPr>
          <w:p>
            <w:pPr>
              <w:spacing w:after="40" w:before="40"/>
              <w:jc w:val="center"/>
            </w:pPr>
            <w:r>
              <w:rPr>
                <w:rFonts w:ascii="Arial" w:cs="Arial" w:eastAsia="Arial" w:hAnsi="Arial"/>
                <w:b/>
                <w:bCs/>
                <w:color w:val="FFFFFF"/>
                <w:sz w:val="18"/>
                <w:szCs w:val="18"/>
              </w:rPr>
              <w:t xml:space="preserve">FY2023A</w:t>
            </w:r>
          </w:p>
        </w:tc>
        <w:tc>
          <w:tcPr>
            <w:tcW w:type="dxa" w:w="1775"/>
            <w:shd w:fill="1F3864" w:val="clear"/>
            <w:vAlign w:val="center"/>
          </w:tcPr>
          <w:p>
            <w:pPr>
              <w:spacing w:after="40" w:before="40"/>
              <w:jc w:val="center"/>
            </w:pPr>
            <w:r>
              <w:rPr>
                <w:rFonts w:ascii="Arial" w:cs="Arial" w:eastAsia="Arial" w:hAnsi="Arial"/>
                <w:b/>
                <w:bCs/>
                <w:color w:val="FFFFFF"/>
                <w:sz w:val="18"/>
                <w:szCs w:val="18"/>
              </w:rPr>
              <w:t xml:space="preserve">FY2024A</w:t>
            </w:r>
          </w:p>
        </w:tc>
        <w:tc>
          <w:tcPr>
            <w:tcW w:type="dxa" w:w="1775"/>
            <w:shd w:fill="1F3864" w:val="clear"/>
            <w:vAlign w:val="center"/>
          </w:tcPr>
          <w:p>
            <w:pPr>
              <w:spacing w:after="40" w:before="40"/>
              <w:jc w:val="center"/>
            </w:pPr>
            <w:r>
              <w:rPr>
                <w:rFonts w:ascii="Arial" w:cs="Arial" w:eastAsia="Arial" w:hAnsi="Arial"/>
                <w:b/>
                <w:bCs/>
                <w:color w:val="FFFFFF"/>
                <w:sz w:val="18"/>
                <w:szCs w:val="18"/>
              </w:rPr>
              <w:t xml:space="preserve">FY2025A</w:t>
            </w:r>
          </w:p>
        </w:tc>
        <w:tc>
          <w:tcPr>
            <w:tcW w:type="dxa" w:w="1774"/>
            <w:shd w:fill="1F3864" w:val="clear"/>
            <w:vAlign w:val="center"/>
          </w:tcPr>
          <w:p>
            <w:pPr>
              <w:spacing w:after="40" w:before="40"/>
              <w:jc w:val="center"/>
            </w:pPr>
            <w:r>
              <w:rPr>
                <w:rFonts w:ascii="Arial" w:cs="Arial" w:eastAsia="Arial" w:hAnsi="Arial"/>
                <w:b/>
                <w:bCs/>
                <w:color w:val="FFFFFF"/>
                <w:sz w:val="18"/>
                <w:szCs w:val="18"/>
              </w:rPr>
              <w:t xml:space="preserve">FY2028E</w:t>
            </w:r>
          </w:p>
        </w:tc>
      </w:tr>
      <w:tr>
        <w:tc>
          <w:tcPr>
            <w:tcW w:type="dxa" w:w="3341"/>
            <w:shd w:fill="F2F2F2" w:val="clear"/>
            <w:vAlign w:val="center"/>
          </w:tcPr>
          <w:p>
            <w:pPr>
              <w:spacing w:after="30" w:before="30"/>
              <w:jc w:val="left"/>
            </w:pPr>
            <w:r>
              <w:rPr>
                <w:rFonts w:ascii="Arial" w:cs="Arial" w:eastAsia="Arial" w:hAnsi="Arial"/>
                <w:b w:val="false"/>
                <w:bCs w:val="false"/>
                <w:color w:val="1A1A1A"/>
                <w:sz w:val="18"/>
                <w:szCs w:val="18"/>
              </w:rPr>
              <w:t xml:space="preserve">Revenue ($mm)</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$383,285</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$391,035</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$416,161</w:t>
            </w:r>
          </w:p>
        </w:tc>
        <w:tc>
          <w:tcPr>
            <w:tcW w:type="dxa" w:w="1774"/>
            <w:shd w:fill="F2F2F2" w:val="clear"/>
            <w:vAlign w:val="center"/>
          </w:tcPr>
          <w:p>
            <w:pPr>
              <w:spacing w:after="30" w:before="30"/>
              <w:jc w:val="center"/>
            </w:pPr>
            <w:r>
              <w:rPr>
                <w:rFonts w:ascii="Arial" w:cs="Arial" w:eastAsia="Arial" w:hAnsi="Arial"/>
                <w:b/>
                <w:bCs/>
                <w:color w:val="1A1A1A"/>
                <w:sz w:val="18"/>
                <w:szCs w:val="18"/>
              </w:rPr>
              <w:t xml:space="preserve">$494,612</w:t>
            </w:r>
          </w:p>
        </w:tc>
      </w:tr>
      <w:tr>
        <w:tc>
          <w:tcPr>
            <w:tcW w:type="dxa" w:w="3341"/>
            <w:vAlign w:val="center"/>
          </w:tcPr>
          <w:p>
            <w:pPr>
              <w:spacing w:after="30" w:before="30"/>
              <w:jc w:val="left"/>
            </w:pPr>
            <w:r>
              <w:rPr>
                <w:rFonts w:ascii="Arial" w:cs="Arial" w:eastAsia="Arial" w:hAnsi="Arial"/>
                <w:b w:val="false"/>
                <w:bCs w:val="false"/>
                <w:color w:val="1A1A1A"/>
                <w:sz w:val="18"/>
                <w:szCs w:val="18"/>
              </w:rPr>
              <w:t xml:space="preserve">Gross Margin %</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44.1%</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46.2%</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46.9%</w:t>
            </w:r>
          </w:p>
        </w:tc>
        <w:tc>
          <w:tcPr>
            <w:tcW w:type="dxa" w:w="1774"/>
            <w:vAlign w:val="center"/>
          </w:tcPr>
          <w:p>
            <w:pPr>
              <w:spacing w:after="30" w:before="30"/>
              <w:jc w:val="center"/>
            </w:pPr>
            <w:r>
              <w:rPr>
                <w:rFonts w:ascii="Arial" w:cs="Arial" w:eastAsia="Arial" w:hAnsi="Arial"/>
                <w:b/>
                <w:bCs/>
                <w:color w:val="1A1A1A"/>
                <w:sz w:val="18"/>
                <w:szCs w:val="18"/>
              </w:rPr>
              <w:t xml:space="preserve">47.5%</w:t>
            </w:r>
          </w:p>
        </w:tc>
      </w:tr>
      <w:tr>
        <w:tc>
          <w:tcPr>
            <w:tcW w:type="dxa" w:w="3341"/>
            <w:shd w:fill="F2F2F2" w:val="clear"/>
            <w:vAlign w:val="center"/>
          </w:tcPr>
          <w:p>
            <w:pPr>
              <w:spacing w:after="30" w:before="30"/>
              <w:jc w:val="left"/>
            </w:pPr>
            <w:r>
              <w:rPr>
                <w:rFonts w:ascii="Arial" w:cs="Arial" w:eastAsia="Arial" w:hAnsi="Arial"/>
                <w:b w:val="false"/>
                <w:bCs w:val="false"/>
                <w:color w:val="1A1A1A"/>
                <w:sz w:val="18"/>
                <w:szCs w:val="18"/>
              </w:rPr>
              <w:t xml:space="preserve">EBIT Margin %</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29.8%</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31.5%</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32.0%</w:t>
            </w:r>
          </w:p>
        </w:tc>
        <w:tc>
          <w:tcPr>
            <w:tcW w:type="dxa" w:w="1774"/>
            <w:shd w:fill="F2F2F2" w:val="clear"/>
            <w:vAlign w:val="center"/>
          </w:tcPr>
          <w:p>
            <w:pPr>
              <w:spacing w:after="30" w:before="30"/>
              <w:jc w:val="center"/>
            </w:pPr>
            <w:r>
              <w:rPr>
                <w:rFonts w:ascii="Arial" w:cs="Arial" w:eastAsia="Arial" w:hAnsi="Arial"/>
                <w:b/>
                <w:bCs/>
                <w:color w:val="1A1A1A"/>
                <w:sz w:val="18"/>
                <w:szCs w:val="18"/>
              </w:rPr>
              <w:t xml:space="preserve">32.4%</w:t>
            </w:r>
          </w:p>
        </w:tc>
      </w:tr>
      <w:tr>
        <w:tc>
          <w:tcPr>
            <w:tcW w:type="dxa" w:w="3341"/>
            <w:vAlign w:val="center"/>
          </w:tcPr>
          <w:p>
            <w:pPr>
              <w:spacing w:after="30" w:before="30"/>
              <w:jc w:val="left"/>
            </w:pPr>
            <w:r>
              <w:rPr>
                <w:rFonts w:ascii="Arial" w:cs="Arial" w:eastAsia="Arial" w:hAnsi="Arial"/>
                <w:b w:val="false"/>
                <w:bCs w:val="false"/>
                <w:color w:val="1A1A1A"/>
                <w:sz w:val="18"/>
                <w:szCs w:val="18"/>
              </w:rPr>
              <w:t xml:space="preserve">Net Income ($mm)</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$96,995</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$93,736</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$112,010</w:t>
            </w:r>
          </w:p>
        </w:tc>
        <w:tc>
          <w:tcPr>
            <w:tcW w:type="dxa" w:w="1774"/>
            <w:vAlign w:val="center"/>
          </w:tcPr>
          <w:p>
            <w:pPr>
              <w:spacing w:after="30" w:before="30"/>
              <w:jc w:val="center"/>
            </w:pPr>
            <w:r>
              <w:rPr>
                <w:rFonts w:ascii="Arial" w:cs="Arial" w:eastAsia="Arial" w:hAnsi="Arial"/>
                <w:b/>
                <w:bCs/>
                <w:color w:val="1A1A1A"/>
                <w:sz w:val="18"/>
                <w:szCs w:val="18"/>
              </w:rPr>
              <w:t xml:space="preserve">$134,344</w:t>
            </w:r>
          </w:p>
        </w:tc>
      </w:tr>
      <w:tr>
        <w:tc>
          <w:tcPr>
            <w:tcW w:type="dxa" w:w="3341"/>
            <w:shd w:fill="F2F2F2" w:val="clear"/>
            <w:vAlign w:val="center"/>
          </w:tcPr>
          <w:p>
            <w:pPr>
              <w:spacing w:after="30" w:before="30"/>
              <w:jc w:val="left"/>
            </w:pPr>
            <w:r>
              <w:rPr>
                <w:rFonts w:ascii="Arial" w:cs="Arial" w:eastAsia="Arial" w:hAnsi="Arial"/>
                <w:b w:val="false"/>
                <w:bCs w:val="false"/>
                <w:color w:val="1A1A1A"/>
                <w:sz w:val="18"/>
                <w:szCs w:val="18"/>
              </w:rPr>
              <w:t xml:space="preserve">EPS (Diluted)</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$6.13</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$6.08</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$7.46</w:t>
            </w:r>
          </w:p>
        </w:tc>
        <w:tc>
          <w:tcPr>
            <w:tcW w:type="dxa" w:w="1774"/>
            <w:shd w:fill="F2F2F2" w:val="clear"/>
            <w:vAlign w:val="center"/>
          </w:tcPr>
          <w:p>
            <w:pPr>
              <w:spacing w:after="30" w:before="30"/>
              <w:jc w:val="center"/>
            </w:pPr>
            <w:r>
              <w:rPr>
                <w:rFonts w:ascii="Arial" w:cs="Arial" w:eastAsia="Arial" w:hAnsi="Arial"/>
                <w:b/>
                <w:bCs/>
                <w:color w:val="1A1A1A"/>
                <w:sz w:val="18"/>
                <w:szCs w:val="18"/>
              </w:rPr>
              <w:t xml:space="preserve">$9.66</w:t>
            </w:r>
          </w:p>
        </w:tc>
      </w:tr>
      <w:tr>
        <w:tc>
          <w:tcPr>
            <w:tcW w:type="dxa" w:w="3341"/>
            <w:vAlign w:val="center"/>
          </w:tcPr>
          <w:p>
            <w:pPr>
              <w:spacing w:after="30" w:before="30"/>
              <w:jc w:val="left"/>
            </w:pPr>
            <w:r>
              <w:rPr>
                <w:rFonts w:ascii="Arial" w:cs="Arial" w:eastAsia="Arial" w:hAnsi="Arial"/>
                <w:b w:val="false"/>
                <w:bCs w:val="false"/>
                <w:color w:val="1A1A1A"/>
                <w:sz w:val="18"/>
                <w:szCs w:val="18"/>
              </w:rPr>
              <w:t xml:space="preserve">FCF ($mm)</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$99,584</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$108,807</w:t>
            </w:r>
          </w:p>
        </w:tc>
        <w:tc>
          <w:tcPr>
            <w:tcW w:type="dxa" w:w="1775"/>
            <w:vAlign w:val="center"/>
          </w:tcPr>
          <w:p>
            <w:pPr>
              <w:spacing w:after="30" w:before="30"/>
              <w:jc w:val="center"/>
            </w:pPr>
            <w:r>
              <w:rPr>
                <w:rFonts w:ascii="Arial" w:cs="Arial" w:eastAsia="Arial" w:hAnsi="Arial"/>
                <w:b w:val="false"/>
                <w:bCs w:val="false"/>
                <w:color w:val="1A1A1A"/>
                <w:sz w:val="18"/>
                <w:szCs w:val="18"/>
              </w:rPr>
              <w:t xml:space="preserve">$98,767</w:t>
            </w:r>
          </w:p>
        </w:tc>
        <w:tc>
          <w:tcPr>
            <w:tcW w:type="dxa" w:w="1774"/>
            <w:vAlign w:val="center"/>
          </w:tcPr>
          <w:p>
            <w:pPr>
              <w:spacing w:after="30" w:before="30"/>
              <w:jc w:val="center"/>
            </w:pPr>
            <w:r>
              <w:rPr>
                <w:rFonts w:ascii="Arial" w:cs="Arial" w:eastAsia="Arial" w:hAnsi="Arial"/>
                <w:b/>
                <w:bCs/>
                <w:color w:val="1A1A1A"/>
                <w:sz w:val="18"/>
                <w:szCs w:val="18"/>
              </w:rPr>
              <w:t xml:space="preserve">$146,800</w:t>
            </w:r>
          </w:p>
        </w:tc>
      </w:tr>
      <w:tr>
        <w:tc>
          <w:tcPr>
            <w:tcW w:type="dxa" w:w="3341"/>
            <w:shd w:fill="F2F2F2" w:val="clear"/>
            <w:vAlign w:val="center"/>
          </w:tcPr>
          <w:p>
            <w:pPr>
              <w:spacing w:after="30" w:before="30"/>
              <w:jc w:val="left"/>
            </w:pPr>
            <w:r>
              <w:rPr>
                <w:rFonts w:ascii="Arial" w:cs="Arial" w:eastAsia="Arial" w:hAnsi="Arial"/>
                <w:b w:val="false"/>
                <w:bCs w:val="false"/>
                <w:color w:val="1A1A1A"/>
                <w:sz w:val="18"/>
                <w:szCs w:val="18"/>
              </w:rPr>
              <w:t xml:space="preserve">Revenue CAGR (FY2025–2028E)</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w:t>
            </w:r>
          </w:p>
        </w:tc>
        <w:tc>
          <w:tcPr>
            <w:tcW w:type="dxa" w:w="1775"/>
            <w:shd w:fill="F2F2F2" w:val="clear"/>
            <w:vAlign w:val="center"/>
          </w:tcPr>
          <w:p>
            <w:pPr>
              <w:spacing w:after="30" w:before="30"/>
              <w:jc w:val="center"/>
            </w:pPr>
            <w:r>
              <w:rPr>
                <w:rFonts w:ascii="Arial" w:cs="Arial" w:eastAsia="Arial" w:hAnsi="Arial"/>
                <w:b w:val="false"/>
                <w:bCs w:val="false"/>
                <w:color w:val="1A1A1A"/>
                <w:sz w:val="18"/>
                <w:szCs w:val="18"/>
              </w:rPr>
              <w:t xml:space="preserve">—</w:t>
            </w:r>
          </w:p>
        </w:tc>
        <w:tc>
          <w:tcPr>
            <w:tcW w:type="dxa" w:w="1774"/>
            <w:shd w:fill="F2F2F2" w:val="clear"/>
            <w:vAlign w:val="center"/>
          </w:tcPr>
          <w:p>
            <w:pPr>
              <w:spacing w:after="30" w:before="30"/>
              <w:jc w:val="center"/>
            </w:pPr>
            <w:r>
              <w:rPr>
                <w:rFonts w:ascii="Arial" w:cs="Arial" w:eastAsia="Arial" w:hAnsi="Arial"/>
                <w:b/>
                <w:bCs/>
                <w:color w:val="1A1A1A"/>
                <w:sz w:val="18"/>
                <w:szCs w:val="18"/>
              </w:rPr>
              <w:t xml:space="preserve">~5.9%</w:t>
            </w:r>
          </w:p>
        </w:tc>
      </w:tr>
    </w:tbl>
    <w:p/>
    <w:p>
      <w:pPr>
        <w:spacing w:after="120" w:before="0"/>
        <w:jc w:val="center"/>
      </w:pPr>
      <w:r>
        <w:rPr>
          <w:rFonts w:ascii="Arial" w:cs="Arial" w:eastAsia="Arial" w:hAnsi="Arial"/>
          <w:b/>
          <w:bCs/>
          <w:i w:val="false"/>
          <w:iCs w:val="false"/>
          <w:color w:val="1A1A1A"/>
          <w:sz w:val="18"/>
          <w:szCs w:val="18"/>
        </w:rPr>
        <w:t xml:space="preserve">Revenue CAGR (FY2025–FY2028E): ~5.9%  |  EPS CAGR: ~9.0%  |  FCF CAGR: ~14.1%</w:t>
      </w:r>
    </w:p>
    <w:p>
      <w:pPr>
        <w:pBdr>
          <w:bottom w:val="single" w:color="1F3864" w:sz="6"/>
        </w:pBdr>
        <w:spacing w:after="80" w:before="200"/>
      </w:pPr>
      <w:r>
        <w:rPr>
          <w:rFonts w:ascii="Arial" w:cs="Arial" w:eastAsia="Arial" w:hAnsi="Arial"/>
          <w:b/>
          <w:bCs/>
          <w:color w:val="1F3864"/>
          <w:sz w:val="26"/>
          <w:szCs w:val="26"/>
        </w:rPr>
        <w:t xml:space="preserve">4.  Valuation — DCF Analysis</w:t>
      </w:r>
    </w:p>
    <w:p>
      <w:pPr>
        <w:spacing w:after="80" w:before="0"/>
        <w:jc w:val="left"/>
      </w:pPr>
      <w:r>
        <w:rPr>
          <w:rFonts w:ascii="Arial" w:cs="Arial" w:eastAsia="Arial" w:hAnsi="Arial"/>
          <w:b/>
          <w:bCs/>
          <w:i w:val="false"/>
          <w:iCs w:val="false"/>
          <w:color w:val="1A1A1A"/>
          <w:sz w:val="20"/>
          <w:szCs w:val="20"/>
        </w:rPr>
        <w:t xml:space="preserve">Methodology: </w:t>
      </w:r>
      <w:r>
        <w:rPr>
          <w:rFonts w:ascii="Arial" w:cs="Arial" w:eastAsia="Arial" w:hAnsi="Arial"/>
          <w:b w:val="false"/>
          <w:bCs w:val="false"/>
          <w:i w:val="false"/>
          <w:iCs w:val="false"/>
          <w:color w:val="1A1A1A"/>
          <w:sz w:val="20"/>
          <w:szCs w:val="20"/>
        </w:rPr>
        <w:t xml:space="preserve">3-year unlevered DCF (FY2026E–FY2028E) using Free Cash Flow to Firm (FCFF). Terminal value calculated using the Gordon Growth Model. Enterprise value bridged to equity value by adding net cash and deducting debt.</w:t>
      </w:r>
    </w:p>
    <w:p>
      <w:pPr>
        <w:spacing w:after="40" w:before="0"/>
        <w:jc w:val="left"/>
      </w:pPr>
      <w:r>
        <w:rPr>
          <w:rFonts w:ascii="Arial" w:cs="Arial" w:eastAsia="Arial" w:hAnsi="Arial"/>
          <w:b/>
          <w:bCs/>
          <w:i w:val="false"/>
          <w:iCs w:val="false"/>
          <w:color w:val="1F3864"/>
          <w:sz w:val="20"/>
          <w:szCs w:val="20"/>
        </w:rPr>
        <w:t xml:space="preserve">WACC Build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shd w:fill="1F3864" w:val="clear"/>
            <w:vAlign w:val="center"/>
          </w:tcPr>
          <w:p>
            <w:pPr>
              <w:spacing w:after="40" w:before="40"/>
              <w:jc w:val="center"/>
            </w:pPr>
            <w:r>
              <w:rPr>
                <w:rFonts w:ascii="Arial" w:cs="Arial" w:eastAsia="Arial" w:hAnsi="Arial"/>
                <w:b/>
                <w:bCs/>
                <w:color w:val="FFFFFF"/>
                <w:sz w:val="18"/>
                <w:szCs w:val="18"/>
              </w:rPr>
              <w:t xml:space="preserve">WACC Component</w:t>
            </w:r>
          </w:p>
        </w:tc>
        <w:tc>
          <w:tcPr>
            <w:tcW w:type="dxa" w:w="4698"/>
            <w:shd w:fill="1F3864" w:val="clear"/>
            <w:vAlign w:val="center"/>
          </w:tcPr>
          <w:p>
            <w:pPr>
              <w:spacing w:after="40" w:before="40"/>
              <w:jc w:val="center"/>
            </w:pPr>
            <w:r>
              <w:rPr>
                <w:rFonts w:ascii="Arial" w:cs="Arial" w:eastAsia="Arial" w:hAnsi="Arial"/>
                <w:b/>
                <w:bCs/>
                <w:color w:val="FFFFFF"/>
                <w:sz w:val="18"/>
                <w:szCs w:val="18"/>
              </w:rPr>
              <w:t xml:space="preserve">Value</w:t>
            </w:r>
          </w:p>
        </w:tc>
      </w:tr>
      <w:tr>
        <w:tc>
          <w:tcPr>
            <w:tcW w:type="dxa" w:w="5742"/>
            <w:shd w:fill="F2F2F2" w:val="clear"/>
            <w:vAlign w:val="center"/>
          </w:tcPr>
          <w:p>
            <w:pPr>
              <w:spacing w:after="30" w:before="30"/>
              <w:jc w:val="left"/>
            </w:pPr>
            <w:r>
              <w:rPr>
                <w:rFonts w:ascii="Arial" w:cs="Arial" w:eastAsia="Arial" w:hAnsi="Arial"/>
                <w:b w:val="false"/>
                <w:bCs w:val="false"/>
                <w:color w:val="1A1A1A"/>
                <w:sz w:val="18"/>
                <w:szCs w:val="18"/>
              </w:rPr>
              <w:t xml:space="preserve">Risk-Free Rate (10-yr Treasury)</w:t>
            </w:r>
          </w:p>
        </w:tc>
        <w:tc>
          <w:tcPr>
            <w:tcW w:type="dxa" w:w="4698"/>
            <w:shd w:fill="F2F2F2" w:val="clear"/>
            <w:vAlign w:val="center"/>
          </w:tcPr>
          <w:p>
            <w:pPr>
              <w:spacing w:after="30" w:before="30"/>
              <w:jc w:val="center"/>
            </w:pPr>
            <w:r>
              <w:rPr>
                <w:rFonts w:ascii="Arial" w:cs="Arial" w:eastAsia="Arial" w:hAnsi="Arial"/>
                <w:b w:val="false"/>
                <w:bCs w:val="false"/>
                <w:color w:val="1A1A1A"/>
                <w:sz w:val="18"/>
                <w:szCs w:val="18"/>
              </w:rPr>
              <w:t xml:space="preserve">4.62%</w:t>
            </w:r>
          </w:p>
        </w:tc>
      </w:tr>
      <w:tr>
        <w:tc>
          <w:tcPr>
            <w:tcW w:type="dxa" w:w="5742"/>
            <w:vAlign w:val="center"/>
          </w:tcPr>
          <w:p>
            <w:pPr>
              <w:spacing w:after="30" w:before="30"/>
              <w:jc w:val="left"/>
            </w:pPr>
            <w:r>
              <w:rPr>
                <w:rFonts w:ascii="Arial" w:cs="Arial" w:eastAsia="Arial" w:hAnsi="Arial"/>
                <w:b w:val="false"/>
                <w:bCs w:val="false"/>
                <w:color w:val="1A1A1A"/>
                <w:sz w:val="18"/>
                <w:szCs w:val="18"/>
              </w:rPr>
              <w:t xml:space="preserve">Equity Risk Premium</w:t>
            </w:r>
          </w:p>
        </w:tc>
        <w:tc>
          <w:tcPr>
            <w:tcW w:type="dxa" w:w="4698"/>
            <w:vAlign w:val="center"/>
          </w:tcPr>
          <w:p>
            <w:pPr>
              <w:spacing w:after="30" w:before="30"/>
              <w:jc w:val="center"/>
            </w:pPr>
            <w:r>
              <w:rPr>
                <w:rFonts w:ascii="Arial" w:cs="Arial" w:eastAsia="Arial" w:hAnsi="Arial"/>
                <w:b w:val="false"/>
                <w:bCs w:val="false"/>
                <w:color w:val="1A1A1A"/>
                <w:sz w:val="18"/>
                <w:szCs w:val="18"/>
              </w:rPr>
              <w:t xml:space="preserve">4.18%</w:t>
            </w:r>
          </w:p>
        </w:tc>
      </w:tr>
      <w:tr>
        <w:tc>
          <w:tcPr>
            <w:tcW w:type="dxa" w:w="5742"/>
            <w:shd w:fill="F2F2F2" w:val="clear"/>
            <w:vAlign w:val="center"/>
          </w:tcPr>
          <w:p>
            <w:pPr>
              <w:spacing w:after="30" w:before="30"/>
              <w:jc w:val="left"/>
            </w:pPr>
            <w:r>
              <w:rPr>
                <w:rFonts w:ascii="Arial" w:cs="Arial" w:eastAsia="Arial" w:hAnsi="Arial"/>
                <w:b w:val="false"/>
                <w:bCs w:val="false"/>
                <w:color w:val="1A1A1A"/>
                <w:sz w:val="18"/>
                <w:szCs w:val="18"/>
              </w:rPr>
              <w:t xml:space="preserve">Beta (AAPL)</w:t>
            </w:r>
          </w:p>
        </w:tc>
        <w:tc>
          <w:tcPr>
            <w:tcW w:type="dxa" w:w="4698"/>
            <w:shd w:fill="F2F2F2" w:val="clear"/>
            <w:vAlign w:val="center"/>
          </w:tcPr>
          <w:p>
            <w:pPr>
              <w:spacing w:after="30" w:before="30"/>
              <w:jc w:val="center"/>
            </w:pPr>
            <w:r>
              <w:rPr>
                <w:rFonts w:ascii="Arial" w:cs="Arial" w:eastAsia="Arial" w:hAnsi="Arial"/>
                <w:b w:val="false"/>
                <w:bCs w:val="false"/>
                <w:color w:val="1A1A1A"/>
                <w:sz w:val="18"/>
                <w:szCs w:val="18"/>
              </w:rPr>
              <w:t xml:space="preserve">1.20x</w:t>
            </w:r>
          </w:p>
        </w:tc>
      </w:tr>
      <w:tr>
        <w:tc>
          <w:tcPr>
            <w:tcW w:type="dxa" w:w="5742"/>
            <w:vAlign w:val="center"/>
          </w:tcPr>
          <w:p>
            <w:pPr>
              <w:spacing w:after="30" w:before="30"/>
              <w:jc w:val="left"/>
            </w:pPr>
            <w:r>
              <w:rPr>
                <w:rFonts w:ascii="Arial" w:cs="Arial" w:eastAsia="Arial" w:hAnsi="Arial"/>
                <w:b w:val="false"/>
                <w:bCs w:val="false"/>
                <w:color w:val="1A1A1A"/>
                <w:sz w:val="18"/>
                <w:szCs w:val="18"/>
              </w:rPr>
              <w:t xml:space="preserve">Cost of Equity</w:t>
            </w:r>
          </w:p>
        </w:tc>
        <w:tc>
          <w:tcPr>
            <w:tcW w:type="dxa" w:w="4698"/>
            <w:vAlign w:val="center"/>
          </w:tcPr>
          <w:p>
            <w:pPr>
              <w:spacing w:after="30" w:before="30"/>
              <w:jc w:val="center"/>
            </w:pPr>
            <w:r>
              <w:rPr>
                <w:rFonts w:ascii="Arial" w:cs="Arial" w:eastAsia="Arial" w:hAnsi="Arial"/>
                <w:b w:val="false"/>
                <w:bCs w:val="false"/>
                <w:color w:val="1A1A1A"/>
                <w:sz w:val="18"/>
                <w:szCs w:val="18"/>
              </w:rPr>
              <w:t xml:space="preserve">9.64%</w:t>
            </w:r>
          </w:p>
        </w:tc>
      </w:tr>
      <w:tr>
        <w:tc>
          <w:tcPr>
            <w:tcW w:type="dxa" w:w="5742"/>
            <w:shd w:fill="F2F2F2" w:val="clear"/>
            <w:vAlign w:val="center"/>
          </w:tcPr>
          <w:p>
            <w:pPr>
              <w:spacing w:after="30" w:before="30"/>
              <w:jc w:val="left"/>
            </w:pPr>
            <w:r>
              <w:rPr>
                <w:rFonts w:ascii="Arial" w:cs="Arial" w:eastAsia="Arial" w:hAnsi="Arial"/>
                <w:b w:val="false"/>
                <w:bCs w:val="false"/>
                <w:color w:val="1A1A1A"/>
                <w:sz w:val="18"/>
                <w:szCs w:val="18"/>
              </w:rPr>
              <w:t xml:space="preserve">Pre-tax Cost of Debt</w:t>
            </w:r>
          </w:p>
        </w:tc>
        <w:tc>
          <w:tcPr>
            <w:tcW w:type="dxa" w:w="4698"/>
            <w:shd w:fill="F2F2F2" w:val="clear"/>
            <w:vAlign w:val="center"/>
          </w:tcPr>
          <w:p>
            <w:pPr>
              <w:spacing w:after="30" w:before="30"/>
              <w:jc w:val="center"/>
            </w:pPr>
            <w:r>
              <w:rPr>
                <w:rFonts w:ascii="Arial" w:cs="Arial" w:eastAsia="Arial" w:hAnsi="Arial"/>
                <w:b w:val="false"/>
                <w:bCs w:val="false"/>
                <w:color w:val="1A1A1A"/>
                <w:sz w:val="18"/>
                <w:szCs w:val="18"/>
              </w:rPr>
              <w:t xml:space="preserve">4.00%</w:t>
            </w:r>
          </w:p>
        </w:tc>
      </w:tr>
      <w:tr>
        <w:tc>
          <w:tcPr>
            <w:tcW w:type="dxa" w:w="5742"/>
            <w:vAlign w:val="center"/>
          </w:tcPr>
          <w:p>
            <w:pPr>
              <w:spacing w:after="30" w:before="30"/>
              <w:jc w:val="left"/>
            </w:pPr>
            <w:r>
              <w:rPr>
                <w:rFonts w:ascii="Arial" w:cs="Arial" w:eastAsia="Arial" w:hAnsi="Arial"/>
                <w:b w:val="false"/>
                <w:bCs w:val="false"/>
                <w:color w:val="1A1A1A"/>
                <w:sz w:val="18"/>
                <w:szCs w:val="18"/>
              </w:rPr>
              <w:t xml:space="preserve">After-tax Cost of Debt (@ 16% tax)</w:t>
            </w:r>
          </w:p>
        </w:tc>
        <w:tc>
          <w:tcPr>
            <w:tcW w:type="dxa" w:w="4698"/>
            <w:vAlign w:val="center"/>
          </w:tcPr>
          <w:p>
            <w:pPr>
              <w:spacing w:after="30" w:before="30"/>
              <w:jc w:val="center"/>
            </w:pPr>
            <w:r>
              <w:rPr>
                <w:rFonts w:ascii="Arial" w:cs="Arial" w:eastAsia="Arial" w:hAnsi="Arial"/>
                <w:b w:val="false"/>
                <w:bCs w:val="false"/>
                <w:color w:val="1A1A1A"/>
                <w:sz w:val="18"/>
                <w:szCs w:val="18"/>
              </w:rPr>
              <w:t xml:space="preserve">3.36%</w:t>
            </w:r>
          </w:p>
        </w:tc>
      </w:tr>
      <w:tr>
        <w:tc>
          <w:tcPr>
            <w:tcW w:type="dxa" w:w="5742"/>
            <w:shd w:fill="F2F2F2" w:val="clear"/>
            <w:vAlign w:val="center"/>
          </w:tcPr>
          <w:p>
            <w:pPr>
              <w:spacing w:after="30" w:before="30"/>
              <w:jc w:val="left"/>
            </w:pPr>
            <w:r>
              <w:rPr>
                <w:rFonts w:ascii="Arial" w:cs="Arial" w:eastAsia="Arial" w:hAnsi="Arial"/>
                <w:b w:val="false"/>
                <w:bCs w:val="false"/>
                <w:color w:val="1A1A1A"/>
                <w:sz w:val="18"/>
                <w:szCs w:val="18"/>
              </w:rPr>
              <w:t xml:space="preserve">Weight of Equity (E/V)</w:t>
            </w:r>
          </w:p>
        </w:tc>
        <w:tc>
          <w:tcPr>
            <w:tcW w:type="dxa" w:w="4698"/>
            <w:shd w:fill="F2F2F2" w:val="clear"/>
            <w:vAlign w:val="center"/>
          </w:tcPr>
          <w:p>
            <w:pPr>
              <w:spacing w:after="30" w:before="30"/>
              <w:jc w:val="center"/>
            </w:pPr>
            <w:r>
              <w:rPr>
                <w:rFonts w:ascii="Arial" w:cs="Arial" w:eastAsia="Arial" w:hAnsi="Arial"/>
                <w:b w:val="false"/>
                <w:bCs w:val="false"/>
                <w:color w:val="1A1A1A"/>
                <w:sz w:val="18"/>
                <w:szCs w:val="18"/>
              </w:rPr>
              <w:t xml:space="preserve">97.9%</w:t>
            </w:r>
          </w:p>
        </w:tc>
      </w:tr>
      <w:tr>
        <w:tc>
          <w:tcPr>
            <w:tcW w:type="dxa" w:w="5742"/>
            <w:vAlign w:val="center"/>
          </w:tcPr>
          <w:p>
            <w:pPr>
              <w:spacing w:after="30" w:before="30"/>
              <w:jc w:val="left"/>
            </w:pPr>
            <w:r>
              <w:rPr>
                <w:rFonts w:ascii="Arial" w:cs="Arial" w:eastAsia="Arial" w:hAnsi="Arial"/>
                <w:b/>
                <w:bCs/>
                <w:color w:val="1A1A1A"/>
                <w:sz w:val="18"/>
                <w:szCs w:val="18"/>
              </w:rPr>
              <w:t xml:space="preserve">WACC</w:t>
            </w:r>
          </w:p>
        </w:tc>
        <w:tc>
          <w:tcPr>
            <w:tcW w:type="dxa" w:w="4698"/>
            <w:vAlign w:val="center"/>
          </w:tcPr>
          <w:p>
            <w:pPr>
              <w:spacing w:after="30" w:before="30"/>
              <w:jc w:val="center"/>
            </w:pPr>
            <w:r>
              <w:rPr>
                <w:rFonts w:ascii="Arial" w:cs="Arial" w:eastAsia="Arial" w:hAnsi="Arial"/>
                <w:b/>
                <w:bCs/>
                <w:color w:val="1F3864"/>
                <w:sz w:val="18"/>
                <w:szCs w:val="18"/>
              </w:rPr>
              <w:t xml:space="preserve">9.50%</w:t>
            </w:r>
          </w:p>
        </w:tc>
      </w:tr>
    </w:tbl>
    <w:p/>
    <w:p>
      <w:pPr>
        <w:spacing w:after="40" w:before="0"/>
        <w:jc w:val="left"/>
      </w:pPr>
      <w:r>
        <w:rPr>
          <w:rFonts w:ascii="Arial" w:cs="Arial" w:eastAsia="Arial" w:hAnsi="Arial"/>
          <w:b/>
          <w:bCs/>
          <w:i w:val="false"/>
          <w:iCs w:val="false"/>
          <w:color w:val="1F3864"/>
          <w:sz w:val="20"/>
          <w:szCs w:val="20"/>
        </w:rPr>
        <w:t xml:space="preserve">Sensitivity Analysis — Implied Share Price ($)</w:t>
      </w:r>
    </w:p>
    <w:p>
      <w:pPr>
        <w:spacing w:after="40" w:before="0"/>
        <w:jc w:val="left"/>
      </w:pPr>
      <w:r>
        <w:rPr>
          <w:rFonts w:ascii="Arial" w:cs="Arial" w:eastAsia="Arial" w:hAnsi="Arial"/>
          <w:b w:val="false"/>
          <w:bCs w:val="false"/>
          <w:i/>
          <w:iCs/>
          <w:color w:val="1A1A1A"/>
          <w:sz w:val="18"/>
          <w:szCs w:val="18"/>
        </w:rPr>
        <w:t xml:space="preserve">Rows = Terminal Growth Rate  |  Columns = WACC</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shd w:fill="1F3864" w:val="clear"/>
            <w:vAlign w:val="center"/>
          </w:tcPr>
          <w:p>
            <w:pPr>
              <w:spacing w:after="40" w:before="40"/>
              <w:jc w:val="center"/>
            </w:pPr>
            <w:r>
              <w:rPr>
                <w:rFonts w:ascii="Arial" w:cs="Arial" w:eastAsia="Arial" w:hAnsi="Arial"/>
                <w:b/>
                <w:bCs/>
                <w:color w:val="FFFFFF"/>
                <w:sz w:val="18"/>
                <w:szCs w:val="18"/>
              </w:rPr>
              <w:t xml:space="preserve">g \ WACC</w:t>
            </w:r>
          </w:p>
        </w:tc>
        <w:tc>
          <w:tcPr>
            <w:tcW w:type="dxa" w:w="1740"/>
            <w:shd w:fill="1F3864" w:val="clear"/>
            <w:vAlign w:val="center"/>
          </w:tcPr>
          <w:p>
            <w:pPr>
              <w:spacing w:after="40" w:before="40"/>
              <w:jc w:val="center"/>
            </w:pPr>
            <w:r>
              <w:rPr>
                <w:rFonts w:ascii="Arial" w:cs="Arial" w:eastAsia="Arial" w:hAnsi="Arial"/>
                <w:b/>
                <w:bCs/>
                <w:color w:val="FFFFFF"/>
                <w:sz w:val="18"/>
                <w:szCs w:val="18"/>
              </w:rPr>
              <w:t xml:space="preserve">8.0%</w:t>
            </w:r>
          </w:p>
        </w:tc>
        <w:tc>
          <w:tcPr>
            <w:tcW w:type="dxa" w:w="1740"/>
            <w:shd w:fill="1F3864" w:val="clear"/>
            <w:vAlign w:val="center"/>
          </w:tcPr>
          <w:p>
            <w:pPr>
              <w:spacing w:after="40" w:before="40"/>
              <w:jc w:val="center"/>
            </w:pPr>
            <w:r>
              <w:rPr>
                <w:rFonts w:ascii="Arial" w:cs="Arial" w:eastAsia="Arial" w:hAnsi="Arial"/>
                <w:b/>
                <w:bCs/>
                <w:color w:val="FFFFFF"/>
                <w:sz w:val="18"/>
                <w:szCs w:val="18"/>
              </w:rPr>
              <w:t xml:space="preserve">9.0%</w:t>
            </w:r>
          </w:p>
        </w:tc>
        <w:tc>
          <w:tcPr>
            <w:tcW w:type="dxa" w:w="1740"/>
            <w:shd w:fill="1F3864" w:val="clear"/>
            <w:vAlign w:val="center"/>
          </w:tcPr>
          <w:p>
            <w:pPr>
              <w:spacing w:after="40" w:before="40"/>
              <w:jc w:val="center"/>
            </w:pPr>
            <w:r>
              <w:rPr>
                <w:rFonts w:ascii="Arial" w:cs="Arial" w:eastAsia="Arial" w:hAnsi="Arial"/>
                <w:b/>
                <w:bCs/>
                <w:color w:val="FFFFFF"/>
                <w:sz w:val="18"/>
                <w:szCs w:val="18"/>
              </w:rPr>
              <w:t xml:space="preserve">10.0%</w:t>
            </w:r>
          </w:p>
        </w:tc>
        <w:tc>
          <w:tcPr>
            <w:tcW w:type="dxa" w:w="1740"/>
            <w:shd w:fill="1F3864" w:val="clear"/>
            <w:vAlign w:val="center"/>
          </w:tcPr>
          <w:p>
            <w:pPr>
              <w:spacing w:after="40" w:before="40"/>
              <w:jc w:val="center"/>
            </w:pPr>
            <w:r>
              <w:rPr>
                <w:rFonts w:ascii="Arial" w:cs="Arial" w:eastAsia="Arial" w:hAnsi="Arial"/>
                <w:b/>
                <w:bCs/>
                <w:color w:val="FFFFFF"/>
                <w:sz w:val="18"/>
                <w:szCs w:val="18"/>
              </w:rPr>
              <w:t xml:space="preserve">11.0%</w:t>
            </w:r>
          </w:p>
        </w:tc>
        <w:tc>
          <w:tcPr>
            <w:tcW w:type="dxa" w:w="1740"/>
            <w:shd w:fill="1F3864" w:val="clear"/>
            <w:vAlign w:val="center"/>
          </w:tcPr>
          <w:p>
            <w:pPr>
              <w:spacing w:after="40" w:before="40"/>
              <w:jc w:val="center"/>
            </w:pPr>
            <w:r>
              <w:rPr>
                <w:rFonts w:ascii="Arial" w:cs="Arial" w:eastAsia="Arial" w:hAnsi="Arial"/>
                <w:b/>
                <w:bCs/>
                <w:color w:val="FFFFFF"/>
                <w:sz w:val="18"/>
                <w:szCs w:val="18"/>
              </w:rPr>
              <w:t xml:space="preserve">12.0%</w:t>
            </w:r>
          </w:p>
        </w:tc>
      </w:tr>
      <w:tr>
        <w:tc>
          <w:tcPr>
            <w:tcW w:type="dxa" w:w="1740"/>
            <w:shd w:fill="2E5090" w:val="clear"/>
            <w:vAlign w:val="center"/>
          </w:tcPr>
          <w:p>
            <w:pPr>
              <w:spacing w:after="30" w:before="30"/>
              <w:jc w:val="center"/>
            </w:pPr>
            <w:r>
              <w:rPr>
                <w:rFonts w:ascii="Arial" w:cs="Arial" w:eastAsia="Arial" w:hAnsi="Arial"/>
                <w:b/>
                <w:bCs/>
                <w:color w:val="FFFFFF"/>
                <w:sz w:val="18"/>
                <w:szCs w:val="18"/>
              </w:rPr>
              <w:t xml:space="preserve">2.0%</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$148</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$127</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$112</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$99</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$90</w:t>
            </w:r>
          </w:p>
        </w:tc>
      </w:tr>
      <w:tr>
        <w:tc>
          <w:tcPr>
            <w:tcW w:type="dxa" w:w="1740"/>
            <w:shd w:fill="2E5090" w:val="clear"/>
            <w:vAlign w:val="center"/>
          </w:tcPr>
          <w:p>
            <w:pPr>
              <w:spacing w:after="30" w:before="30"/>
              <w:jc w:val="center"/>
            </w:pPr>
            <w:r>
              <w:rPr>
                <w:rFonts w:ascii="Arial" w:cs="Arial" w:eastAsia="Arial" w:hAnsi="Arial"/>
                <w:b/>
                <w:bCs/>
                <w:color w:val="FFFFFF"/>
                <w:sz w:val="18"/>
                <w:szCs w:val="18"/>
              </w:rPr>
              <w:t xml:space="preserve">2.5%</w:t>
            </w:r>
          </w:p>
        </w:tc>
        <w:tc>
          <w:tcPr>
            <w:tcW w:type="dxa" w:w="1740"/>
            <w:shd w:fill="FFF2CC" w:val="clear"/>
            <w:vAlign w:val="center"/>
          </w:tcPr>
          <w:p>
            <w:pPr>
              <w:spacing w:after="30" w:before="30"/>
              <w:jc w:val="center"/>
            </w:pPr>
            <w:r>
              <w:rPr>
                <w:rFonts w:ascii="Arial" w:cs="Arial" w:eastAsia="Arial" w:hAnsi="Arial"/>
                <w:b w:val="false"/>
                <w:bCs w:val="false"/>
                <w:color w:val="1A1A1A"/>
                <w:sz w:val="18"/>
                <w:szCs w:val="18"/>
              </w:rPr>
              <w:t xml:space="preserve">$160</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$136</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$118</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$104</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$93</w:t>
            </w:r>
          </w:p>
        </w:tc>
      </w:tr>
      <w:tr>
        <w:tc>
          <w:tcPr>
            <w:tcW w:type="dxa" w:w="1740"/>
            <w:shd w:fill="2E5090" w:val="clear"/>
            <w:vAlign w:val="center"/>
          </w:tcPr>
          <w:p>
            <w:pPr>
              <w:spacing w:after="30" w:before="30"/>
              <w:jc w:val="center"/>
            </w:pPr>
            <w:r>
              <w:rPr>
                <w:rFonts w:ascii="Arial" w:cs="Arial" w:eastAsia="Arial" w:hAnsi="Arial"/>
                <w:b/>
                <w:bCs/>
                <w:color w:val="FFFFFF"/>
                <w:sz w:val="18"/>
                <w:szCs w:val="18"/>
              </w:rPr>
              <w:t xml:space="preserve">3.0%</w:t>
            </w:r>
          </w:p>
        </w:tc>
        <w:tc>
          <w:tcPr>
            <w:tcW w:type="dxa" w:w="1740"/>
            <w:shd w:fill="FFF2CC" w:val="clear"/>
            <w:vAlign w:val="center"/>
          </w:tcPr>
          <w:p>
            <w:pPr>
              <w:spacing w:after="30" w:before="30"/>
              <w:jc w:val="center"/>
            </w:pPr>
            <w:r>
              <w:rPr>
                <w:rFonts w:ascii="Arial" w:cs="Arial" w:eastAsia="Arial" w:hAnsi="Arial"/>
                <w:b w:val="false"/>
                <w:bCs w:val="false"/>
                <w:color w:val="1A1A1A"/>
                <w:sz w:val="18"/>
                <w:szCs w:val="18"/>
              </w:rPr>
              <w:t xml:space="preserve">$174</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$146</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$125</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$110</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$98</w:t>
            </w:r>
          </w:p>
        </w:tc>
      </w:tr>
      <w:tr>
        <w:tc>
          <w:tcPr>
            <w:tcW w:type="dxa" w:w="1740"/>
            <w:shd w:fill="2E5090" w:val="clear"/>
            <w:vAlign w:val="center"/>
          </w:tcPr>
          <w:p>
            <w:pPr>
              <w:spacing w:after="30" w:before="30"/>
              <w:jc w:val="center"/>
            </w:pPr>
            <w:r>
              <w:rPr>
                <w:rFonts w:ascii="Arial" w:cs="Arial" w:eastAsia="Arial" w:hAnsi="Arial"/>
                <w:b/>
                <w:bCs/>
                <w:color w:val="FFFFFF"/>
                <w:sz w:val="18"/>
                <w:szCs w:val="18"/>
              </w:rPr>
              <w:t xml:space="preserve">3.5%</w:t>
            </w:r>
          </w:p>
        </w:tc>
        <w:tc>
          <w:tcPr>
            <w:tcW w:type="dxa" w:w="1740"/>
            <w:shd w:fill="FFF2CC" w:val="clear"/>
            <w:vAlign w:val="center"/>
          </w:tcPr>
          <w:p>
            <w:pPr>
              <w:spacing w:after="30" w:before="30"/>
              <w:jc w:val="center"/>
            </w:pPr>
            <w:r>
              <w:rPr>
                <w:rFonts w:ascii="Arial" w:cs="Arial" w:eastAsia="Arial" w:hAnsi="Arial"/>
                <w:b w:val="false"/>
                <w:bCs w:val="false"/>
                <w:color w:val="1A1A1A"/>
                <w:sz w:val="18"/>
                <w:szCs w:val="18"/>
              </w:rPr>
              <w:t xml:space="preserve">$192</w:t>
            </w:r>
          </w:p>
        </w:tc>
        <w:tc>
          <w:tcPr>
            <w:tcW w:type="dxa" w:w="1740"/>
            <w:shd w:fill="FFF2CC" w:val="clear"/>
            <w:vAlign w:val="center"/>
          </w:tcPr>
          <w:p>
            <w:pPr>
              <w:spacing w:after="30" w:before="30"/>
              <w:jc w:val="center"/>
            </w:pPr>
            <w:r>
              <w:rPr>
                <w:rFonts w:ascii="Arial" w:cs="Arial" w:eastAsia="Arial" w:hAnsi="Arial"/>
                <w:b w:val="false"/>
                <w:bCs w:val="false"/>
                <w:color w:val="1A1A1A"/>
                <w:sz w:val="18"/>
                <w:szCs w:val="18"/>
              </w:rPr>
              <w:t xml:space="preserve">$157</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$133</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$116</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$102</w:t>
            </w:r>
          </w:p>
        </w:tc>
      </w:tr>
      <w:tr>
        <w:tc>
          <w:tcPr>
            <w:tcW w:type="dxa" w:w="1740"/>
            <w:shd w:fill="2E5090" w:val="clear"/>
            <w:vAlign w:val="center"/>
          </w:tcPr>
          <w:p>
            <w:pPr>
              <w:spacing w:after="30" w:before="30"/>
              <w:jc w:val="center"/>
            </w:pPr>
            <w:r>
              <w:rPr>
                <w:rFonts w:ascii="Arial" w:cs="Arial" w:eastAsia="Arial" w:hAnsi="Arial"/>
                <w:b/>
                <w:bCs/>
                <w:color w:val="FFFFFF"/>
                <w:sz w:val="18"/>
                <w:szCs w:val="18"/>
              </w:rPr>
              <w:t xml:space="preserve">4.0%</w:t>
            </w:r>
          </w:p>
        </w:tc>
        <w:tc>
          <w:tcPr>
            <w:tcW w:type="dxa" w:w="1740"/>
            <w:shd w:fill="E2EFDA" w:val="clear"/>
            <w:vAlign w:val="center"/>
          </w:tcPr>
          <w:p>
            <w:pPr>
              <w:spacing w:after="30" w:before="30"/>
              <w:jc w:val="center"/>
            </w:pPr>
            <w:r>
              <w:rPr>
                <w:rFonts w:ascii="Arial" w:cs="Arial" w:eastAsia="Arial" w:hAnsi="Arial"/>
                <w:b w:val="false"/>
                <w:bCs w:val="false"/>
                <w:color w:val="1A1A1A"/>
                <w:sz w:val="18"/>
                <w:szCs w:val="18"/>
              </w:rPr>
              <w:t xml:space="preserve">$214</w:t>
            </w:r>
          </w:p>
        </w:tc>
        <w:tc>
          <w:tcPr>
            <w:tcW w:type="dxa" w:w="1740"/>
            <w:shd w:fill="FFF2CC" w:val="clear"/>
            <w:vAlign w:val="center"/>
          </w:tcPr>
          <w:p>
            <w:pPr>
              <w:spacing w:after="30" w:before="30"/>
              <w:jc w:val="center"/>
            </w:pPr>
            <w:r>
              <w:rPr>
                <w:rFonts w:ascii="Arial" w:cs="Arial" w:eastAsia="Arial" w:hAnsi="Arial"/>
                <w:b w:val="false"/>
                <w:bCs w:val="false"/>
                <w:color w:val="1A1A1A"/>
                <w:sz w:val="18"/>
                <w:szCs w:val="18"/>
              </w:rPr>
              <w:t xml:space="preserve">$171</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$143</w:t>
            </w:r>
          </w:p>
        </w:tc>
        <w:tc>
          <w:tcPr>
            <w:tcW w:type="dxa" w:w="1740"/>
            <w:shd w:fill="FCE4D6" w:val="clear"/>
            <w:vAlign w:val="center"/>
          </w:tcPr>
          <w:p>
            <w:pPr>
              <w:spacing w:after="30" w:before="30"/>
              <w:jc w:val="center"/>
            </w:pPr>
            <w:r>
              <w:rPr>
                <w:rFonts w:ascii="Arial" w:cs="Arial" w:eastAsia="Arial" w:hAnsi="Arial"/>
                <w:b w:val="false"/>
                <w:bCs w:val="false"/>
                <w:color w:val="1A1A1A"/>
                <w:sz w:val="18"/>
                <w:szCs w:val="18"/>
              </w:rPr>
              <w:t xml:space="preserve">$123</w:t>
            </w:r>
          </w:p>
        </w:tc>
        <w:tc>
          <w:tcPr>
            <w:tcW w:type="dxa" w:w="1740"/>
            <w:shd w:fill="FFDCE0" w:val="clear"/>
            <w:vAlign w:val="center"/>
          </w:tcPr>
          <w:p>
            <w:pPr>
              <w:spacing w:after="30" w:before="30"/>
              <w:jc w:val="center"/>
            </w:pPr>
            <w:r>
              <w:rPr>
                <w:rFonts w:ascii="Arial" w:cs="Arial" w:eastAsia="Arial" w:hAnsi="Arial"/>
                <w:b w:val="false"/>
                <w:bCs w:val="false"/>
                <w:color w:val="1A1A1A"/>
                <w:sz w:val="18"/>
                <w:szCs w:val="18"/>
              </w:rPr>
              <w:t xml:space="preserve">$108</w:t>
            </w:r>
          </w:p>
        </w:tc>
      </w:tr>
    </w:tbl>
    <w:p/>
    <w:p>
      <w:pPr>
        <w:spacing w:after="120" w:before="0"/>
        <w:jc w:val="left"/>
      </w:pPr>
      <w:r>
        <w:rPr>
          <w:rFonts w:ascii="Arial" w:cs="Arial" w:eastAsia="Arial" w:hAnsi="Arial"/>
          <w:b/>
          <w:bCs/>
          <w:i w:val="false"/>
          <w:iCs w:val="false"/>
          <w:color w:val="1A1A1A"/>
          <w:sz w:val="18"/>
          <w:szCs w:val="18"/>
        </w:rPr>
        <w:t xml:space="preserve">Color key: </w:t>
      </w:r>
      <w:r>
        <w:rPr>
          <w:rFonts w:ascii="Arial" w:cs="Arial" w:eastAsia="Arial" w:hAnsi="Arial"/>
          <w:b w:val="false"/>
          <w:bCs w:val="false"/>
          <w:i w:val="false"/>
          <w:iCs w:val="false"/>
          <w:color w:val="375623"/>
          <w:sz w:val="18"/>
          <w:szCs w:val="18"/>
        </w:rPr>
        <w:t xml:space="preserve">Green (≥$200)  </w:t>
      </w:r>
      <w:r>
        <w:rPr>
          <w:rFonts w:ascii="Arial" w:cs="Arial" w:eastAsia="Arial" w:hAnsi="Arial"/>
          <w:b w:val="false"/>
          <w:bCs w:val="false"/>
          <w:i w:val="false"/>
          <w:iCs w:val="false"/>
          <w:color w:val="BF8F00"/>
          <w:sz w:val="18"/>
          <w:szCs w:val="18"/>
        </w:rPr>
        <w:t xml:space="preserve">Yellow ($150–$199)  </w:t>
      </w:r>
      <w:r>
        <w:rPr>
          <w:rFonts w:ascii="Arial" w:cs="Arial" w:eastAsia="Arial" w:hAnsi="Arial"/>
          <w:b w:val="false"/>
          <w:bCs w:val="false"/>
          <w:i w:val="false"/>
          <w:iCs w:val="false"/>
          <w:color w:val="C55A11"/>
          <w:sz w:val="18"/>
          <w:szCs w:val="18"/>
        </w:rPr>
        <w:t xml:space="preserve">Orange ($110–$149)  </w:t>
      </w:r>
      <w:r>
        <w:rPr>
          <w:rFonts w:ascii="Arial" w:cs="Arial" w:eastAsia="Arial" w:hAnsi="Arial"/>
          <w:b w:val="false"/>
          <w:bCs w:val="false"/>
          <w:i w:val="false"/>
          <w:iCs w:val="false"/>
          <w:color w:val="C00000"/>
          <w:sz w:val="18"/>
          <w:szCs w:val="18"/>
        </w:rPr>
        <w:t xml:space="preserve">Red (&lt;$110)</w:t>
      </w:r>
    </w:p>
    <w:p>
      <w:pPr>
        <w:pBdr>
          <w:bottom w:val="single" w:color="1F3864" w:sz="6"/>
        </w:pBdr>
        <w:spacing w:after="80" w:before="200"/>
      </w:pPr>
      <w:r>
        <w:rPr>
          <w:rFonts w:ascii="Arial" w:cs="Arial" w:eastAsia="Arial" w:hAnsi="Arial"/>
          <w:b/>
          <w:bCs/>
          <w:color w:val="1F3864"/>
          <w:sz w:val="26"/>
          <w:szCs w:val="26"/>
        </w:rPr>
        <w:t xml:space="preserve">5.  Key Risks</w:t>
      </w:r>
    </w:p>
    <w:p>
      <w:pPr>
        <w:pStyle w:val="ListParagraph"/>
        <w:numPr>
          <w:ilvl w:val="0"/>
          <w:numId w:val="1"/>
        </w:numPr>
        <w:spacing w:after="30" w:before="30"/>
        <w:ind w:left="360" w:hanging="360"/>
      </w:pPr>
      <w:r>
        <w:rPr>
          <w:rFonts w:ascii="Arial" w:cs="Arial" w:eastAsia="Arial" w:hAnsi="Arial"/>
          <w:color w:val="1A1A1A"/>
          <w:sz w:val="19"/>
          <w:szCs w:val="19"/>
        </w:rPr>
        <w:t xml:space="preserve">Valuation risk: Stock is priced for execution on AI monetization, Vision Pro adoption, and India market penetration — all early-stage. Disappointment in any of these could compress the multiple.</w:t>
      </w:r>
    </w:p>
    <w:p>
      <w:pPr>
        <w:pStyle w:val="ListParagraph"/>
        <w:numPr>
          <w:ilvl w:val="0"/>
          <w:numId w:val="1"/>
        </w:numPr>
        <w:spacing w:after="30" w:before="30"/>
        <w:ind w:left="360" w:hanging="360"/>
      </w:pPr>
      <w:r>
        <w:rPr>
          <w:rFonts w:ascii="Arial" w:cs="Arial" w:eastAsia="Arial" w:hAnsi="Arial"/>
          <w:color w:val="1A1A1A"/>
          <w:sz w:val="19"/>
          <w:szCs w:val="19"/>
        </w:rPr>
        <w:t xml:space="preserve">iPhone concentration: ~74% of Products revenue still tied to iPhone (FY2025). A weak upgrade cycle or competitive pressure from Samsung/Chinese OEMs in emerging markets poses downside risk to top-line growth.</w:t>
      </w:r>
    </w:p>
    <w:p>
      <w:pPr>
        <w:pStyle w:val="ListParagraph"/>
        <w:numPr>
          <w:ilvl w:val="0"/>
          <w:numId w:val="1"/>
        </w:numPr>
        <w:spacing w:after="30" w:before="30"/>
        <w:ind w:left="360" w:hanging="360"/>
      </w:pPr>
      <w:r>
        <w:rPr>
          <w:rFonts w:ascii="Arial" w:cs="Arial" w:eastAsia="Arial" w:hAnsi="Arial"/>
          <w:color w:val="1A1A1A"/>
          <w:sz w:val="19"/>
          <w:szCs w:val="19"/>
        </w:rPr>
        <w:t xml:space="preserve">Regulatory / antitrust exposure: DOJ antitrust action targeting the App Store and potential changes to Google's $20B+ search default payment represent material earnings risks not reflected in the base case.</w:t>
      </w:r>
    </w:p>
    <w:p>
      <w:pPr>
        <w:pStyle w:val="ListParagraph"/>
        <w:numPr>
          <w:ilvl w:val="0"/>
          <w:numId w:val="1"/>
        </w:numPr>
        <w:spacing w:after="30" w:before="30"/>
        <w:ind w:left="360" w:hanging="360"/>
      </w:pPr>
      <w:r>
        <w:rPr>
          <w:rFonts w:ascii="Arial" w:cs="Arial" w:eastAsia="Arial" w:hAnsi="Arial"/>
          <w:color w:val="1A1A1A"/>
          <w:sz w:val="19"/>
          <w:szCs w:val="19"/>
        </w:rPr>
        <w:t xml:space="preserve">FX headwinds: ~57% of revenue is international. A strong USD environment compresses reported revenue growth on a constant-currency basis.</w:t>
      </w:r>
    </w:p>
    <w:p/>
    <w:p>
      <w:pPr>
        <w:pBdr>
          <w:bottom w:val="single" w:color="1F3864" w:sz="6"/>
        </w:pBdr>
        <w:spacing w:after="80" w:before="200"/>
      </w:pPr>
      <w:r>
        <w:rPr>
          <w:rFonts w:ascii="Arial" w:cs="Arial" w:eastAsia="Arial" w:hAnsi="Arial"/>
          <w:b/>
          <w:bCs/>
          <w:color w:val="1F3864"/>
          <w:sz w:val="26"/>
          <w:szCs w:val="26"/>
        </w:rPr>
        <w:t xml:space="preserve">6.  Recommendation</w:t>
      </w:r>
    </w:p>
    <w:tbl>
      <w:tblPr>
        <w:tblW w:type="dxa" w:w="10440"/>
        <w:tblBorders>
          <w:top w:val="none" w:color="auto" w:sz="0"/>
          <w:left w:val="none" w:color="auto" w:sz="0"/>
          <w:bottom w:val="none" w:color="auto" w:sz="0"/>
          <w:right w:val="none" w:color="auto" w:sz="0"/>
          <w:insideH w:val="none" w:color="auto" w:sz="0"/>
          <w:insideV w:val="none" w:color="auto" w:sz="0"/>
        </w:tblBorders>
      </w:tblPr>
      <w:tblGrid>
        <w:gridCol w:w="10440"/>
      </w:tblGrid>
      <w:tr>
        <w:tc>
          <w:tcPr>
            <w:tcW w:type="dxa" w:w="10440"/>
            <w:shd w:fill="C55A11" w:val="clear"/>
          </w:tcPr>
          <w:p>
            <w:pPr>
              <w:spacing w:after="40" w:before="80"/>
              <w:jc w:val="center"/>
            </w:pPr>
            <w:r>
              <w:rPr>
                <w:rFonts w:ascii="Arial" w:cs="Arial" w:eastAsia="Arial" w:hAnsi="Arial"/>
                <w:b/>
                <w:bCs/>
                <w:color w:val="FFFFFF"/>
                <w:sz w:val="24"/>
                <w:szCs w:val="24"/>
              </w:rPr>
              <w:t xml:space="preserve">HOLD  —  Price Target: $160  |  Current: $313.36</w:t>
            </w:r>
          </w:p>
          <w:p>
            <w:pPr>
              <w:spacing w:after="20" w:before="0"/>
              <w:jc w:val="center"/>
            </w:pPr>
            <w:r>
              <w:rPr>
                <w:rFonts w:ascii="Arial" w:cs="Arial" w:eastAsia="Arial" w:hAnsi="Arial"/>
                <w:color w:val="FFFFFF"/>
                <w:sz w:val="19"/>
                <w:szCs w:val="19"/>
              </w:rPr>
              <w:t xml:space="preserve">Base-case DCF does not support the current valuation. However, Apple's durable competitive advantages,</w:t>
            </w:r>
          </w:p>
          <w:p>
            <w:pPr>
              <w:spacing w:after="80" w:before="0"/>
              <w:jc w:val="center"/>
            </w:pPr>
            <w:r>
              <w:rPr>
                <w:rFonts w:ascii="Arial" w:cs="Arial" w:eastAsia="Arial" w:hAnsi="Arial"/>
                <w:color w:val="FFFFFF"/>
                <w:sz w:val="19"/>
                <w:szCs w:val="19"/>
              </w:rPr>
              <w:t xml:space="preserve">unmatched capital return program, and Services growth optionality justify a HOLD rather than an outright SELL.</w:t>
            </w:r>
          </w:p>
        </w:tc>
      </w:tr>
    </w:tbl>
    <w:p/>
    <w:p>
      <w:pPr>
        <w:spacing w:after="120" w:before="0"/>
        <w:jc w:val="left"/>
      </w:pPr>
      <w:r>
        <w:rPr>
          <w:rFonts w:ascii="Arial" w:cs="Arial" w:eastAsia="Arial" w:hAnsi="Arial"/>
          <w:b w:val="false"/>
          <w:bCs w:val="false"/>
          <w:i w:val="false"/>
          <w:iCs w:val="false"/>
          <w:color w:val="1A1A1A"/>
          <w:sz w:val="20"/>
          <w:szCs w:val="20"/>
        </w:rPr>
        <w:t xml:space="preserve">A re-rating to BUY would require: (1) evidence of meaningful AI revenue monetization, (2) stock price correction toward $150–$180 range, or (3) Services revenue accelerating above 15% YoY sustained over 2+ quarters.</w:t>
      </w:r>
    </w:p>
    <w:p>
      <w:pPr>
        <w:pBdr>
          <w:bottom w:val="single" w:color="CCCCCC" w:sz="4"/>
        </w:pBdr>
        <w:spacing w:after="60" w:before="60"/>
      </w:pPr>
    </w:p>
    <w:p>
      <w:pPr>
        <w:spacing w:after="80" w:before="0"/>
        <w:jc w:val="center"/>
      </w:pPr>
      <w:r>
        <w:rPr>
          <w:rFonts w:ascii="Arial" w:cs="Arial" w:eastAsia="Arial" w:hAnsi="Arial"/>
          <w:b w:val="false"/>
          <w:bCs w:val="false"/>
          <w:i w:val="false"/>
          <w:iCs w:val="false"/>
          <w:color w:val="595959"/>
          <w:sz w:val="16"/>
          <w:szCs w:val="16"/>
        </w:rPr>
        <w:t xml:space="preserve">Prepared by: Talal Ahmed Butt  |  UMass Amherst, Isenberg School of Management  |  </w:t>
      </w:r>
      <w:r>
        <w:rPr>
          <w:rFonts w:ascii="Arial" w:cs="Arial" w:eastAsia="Arial" w:hAnsi="Arial"/>
          <w:b w:val="false"/>
          <w:bCs w:val="false"/>
          <w:i w:val="false"/>
          <w:iCs w:val="false"/>
          <w:color w:val="595959"/>
          <w:sz w:val="16"/>
          <w:szCs w:val="16"/>
        </w:rPr>
        <w:t xml:space="preserve">July 2026</w:t>
      </w:r>
    </w:p>
    <w:p>
      <w:pPr>
        <w:spacing w:after="80" w:before="0"/>
        <w:jc w:val="center"/>
      </w:pPr>
      <w:r>
        <w:rPr>
          <w:rFonts w:ascii="Arial" w:cs="Arial" w:eastAsia="Arial" w:hAnsi="Arial"/>
          <w:b w:val="false"/>
          <w:bCs w:val="false"/>
          <w:i/>
          <w:iCs/>
          <w:color w:val="595959"/>
          <w:sz w:val="16"/>
          <w:szCs w:val="16"/>
        </w:rPr>
        <w:t xml:space="preserve">This memo is for educational purposes only and does not constitute investment advice.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2026-07-14T19:22:08.665Z</dcterms:created>
  <dcterms:modified xsi:type="dcterms:W3CDTF">2026-07-14T19:22:08.698Z</dcterms:modified>
</cp:coreProperties>
</file>

<file path=docProps/custom.xml><?xml version="1.0" encoding="utf-8"?>
<Properties xmlns="http://schemas.openxmlformats.org/officeDocument/2006/custom-properties" xmlns:vt="http://schemas.openxmlformats.org/officeDocument/2006/docPropsVTypes"/>
</file>