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0440" w:type="dxa"/>
        <w:tblCellMar>
          <w:left w:w="10" w:type="dxa"/>
          <w:right w:w="10" w:type="dxa"/>
        </w:tblCellMar>
        <w:tblLook w:val="04A0" w:firstRow="1" w:lastRow="0" w:firstColumn="1" w:lastColumn="0" w:noHBand="0" w:noVBand="1"/>
      </w:tblPr>
      <w:tblGrid>
        <w:gridCol w:w="10440"/>
      </w:tblGrid>
      <w:tr w:rsidR="009D0F57" w:rsidRPr="00D659EC" w14:paraId="64580C92" w14:textId="77777777">
        <w:tblPrEx>
          <w:tblCellMar>
            <w:top w:w="0" w:type="dxa"/>
            <w:bottom w:w="0" w:type="dxa"/>
          </w:tblCellMar>
        </w:tblPrEx>
        <w:tc>
          <w:tcPr>
            <w:tcW w:w="10440" w:type="dxa"/>
            <w:shd w:val="clear" w:color="auto" w:fill="1F3864"/>
          </w:tcPr>
          <w:p w14:paraId="0CD86136" w14:textId="77777777" w:rsidR="009D0F57" w:rsidRPr="00D659EC" w:rsidRDefault="00000000">
            <w:pPr>
              <w:spacing w:before="120" w:after="40"/>
              <w:jc w:val="center"/>
              <w:rPr>
                <w:rFonts w:ascii="Calibri" w:hAnsi="Calibri" w:cs="Calibri"/>
              </w:rPr>
            </w:pPr>
            <w:r w:rsidRPr="00D659EC">
              <w:rPr>
                <w:rFonts w:ascii="Calibri" w:eastAsia="Arial" w:hAnsi="Calibri" w:cs="Calibri"/>
                <w:b/>
                <w:bCs/>
                <w:color w:val="FFFFFF"/>
                <w:sz w:val="36"/>
                <w:szCs w:val="36"/>
              </w:rPr>
              <w:t>INVESTMENT MEMO</w:t>
            </w:r>
          </w:p>
          <w:p w14:paraId="641602BC" w14:textId="77777777" w:rsidR="009D0F57" w:rsidRPr="00D659EC" w:rsidRDefault="00000000">
            <w:pPr>
              <w:spacing w:after="40"/>
              <w:jc w:val="center"/>
              <w:rPr>
                <w:rFonts w:ascii="Calibri" w:hAnsi="Calibri" w:cs="Calibri"/>
              </w:rPr>
            </w:pPr>
            <w:r w:rsidRPr="00D659EC">
              <w:rPr>
                <w:rFonts w:ascii="Calibri" w:eastAsia="Arial" w:hAnsi="Calibri" w:cs="Calibri"/>
                <w:b/>
                <w:bCs/>
                <w:color w:val="BDD7EE"/>
                <w:sz w:val="28"/>
                <w:szCs w:val="28"/>
              </w:rPr>
              <w:t>Apple Inc. (NASDAQ: AAPL)</w:t>
            </w:r>
          </w:p>
          <w:p w14:paraId="3B73CBA3" w14:textId="77777777" w:rsidR="009D0F57" w:rsidRPr="00D659EC" w:rsidRDefault="00000000">
            <w:pPr>
              <w:spacing w:after="120"/>
              <w:jc w:val="center"/>
              <w:rPr>
                <w:rFonts w:ascii="Calibri" w:hAnsi="Calibri" w:cs="Calibri"/>
              </w:rPr>
            </w:pPr>
            <w:r w:rsidRPr="00D659EC">
              <w:rPr>
                <w:rFonts w:ascii="Calibri" w:eastAsia="Arial" w:hAnsi="Calibri" w:cs="Calibri"/>
                <w:i/>
                <w:iCs/>
                <w:color w:val="BDD7EE"/>
              </w:rPr>
              <w:t>Equity Research | Corporate Finance Project</w:t>
            </w:r>
          </w:p>
        </w:tc>
      </w:tr>
    </w:tbl>
    <w:p w14:paraId="20E72D82" w14:textId="77777777" w:rsidR="009D0F57" w:rsidRPr="00D659EC" w:rsidRDefault="009D0F57">
      <w:pPr>
        <w:rPr>
          <w:rFonts w:ascii="Calibri" w:hAnsi="Calibri" w:cs="Calibri"/>
        </w:rPr>
      </w:pPr>
    </w:p>
    <w:tbl>
      <w:tblPr>
        <w:tblW w:w="10440" w:type="dxa"/>
        <w:tblCellMar>
          <w:left w:w="10" w:type="dxa"/>
          <w:right w:w="10" w:type="dxa"/>
        </w:tblCellMar>
        <w:tblLook w:val="04A0" w:firstRow="1" w:lastRow="0" w:firstColumn="1" w:lastColumn="0" w:noHBand="0" w:noVBand="1"/>
      </w:tblPr>
      <w:tblGrid>
        <w:gridCol w:w="3480"/>
        <w:gridCol w:w="3480"/>
        <w:gridCol w:w="3480"/>
      </w:tblGrid>
      <w:tr w:rsidR="009D0F57" w:rsidRPr="00D659EC" w14:paraId="2D9094D4" w14:textId="77777777">
        <w:tblPrEx>
          <w:tblCellMar>
            <w:top w:w="0" w:type="dxa"/>
            <w:bottom w:w="0" w:type="dxa"/>
          </w:tblCellMar>
        </w:tblPrEx>
        <w:tc>
          <w:tcPr>
            <w:tcW w:w="3480" w:type="dxa"/>
            <w:shd w:val="clear" w:color="auto" w:fill="C55A11"/>
          </w:tcPr>
          <w:p w14:paraId="5FC9A05A" w14:textId="77777777" w:rsidR="009D0F57" w:rsidRPr="00D659EC" w:rsidRDefault="00000000">
            <w:pPr>
              <w:spacing w:before="80" w:after="80"/>
              <w:jc w:val="center"/>
              <w:rPr>
                <w:rFonts w:ascii="Calibri" w:hAnsi="Calibri" w:cs="Calibri"/>
              </w:rPr>
            </w:pPr>
            <w:r w:rsidRPr="00D659EC">
              <w:rPr>
                <w:rFonts w:ascii="Apple Color Emoji" w:eastAsia="Arial" w:hAnsi="Apple Color Emoji" w:cs="Apple Color Emoji"/>
                <w:b/>
                <w:bCs/>
                <w:color w:val="FFFFFF"/>
                <w:sz w:val="24"/>
                <w:szCs w:val="24"/>
              </w:rPr>
              <w:t>⚠</w:t>
            </w:r>
            <w:proofErr w:type="gramStart"/>
            <w:r w:rsidRPr="00D659EC">
              <w:rPr>
                <w:rFonts w:ascii="Apple Color Emoji" w:eastAsia="Arial" w:hAnsi="Apple Color Emoji" w:cs="Apple Color Emoji"/>
                <w:b/>
                <w:bCs/>
                <w:color w:val="FFFFFF"/>
                <w:sz w:val="24"/>
                <w:szCs w:val="24"/>
              </w:rPr>
              <w:t>️</w:t>
            </w:r>
            <w:r w:rsidRPr="00D659EC">
              <w:rPr>
                <w:rFonts w:ascii="Calibri" w:eastAsia="Arial" w:hAnsi="Calibri" w:cs="Calibri"/>
                <w:b/>
                <w:bCs/>
                <w:color w:val="FFFFFF"/>
                <w:sz w:val="24"/>
                <w:szCs w:val="24"/>
              </w:rPr>
              <w:t xml:space="preserve">  HOLD</w:t>
            </w:r>
            <w:proofErr w:type="gramEnd"/>
          </w:p>
        </w:tc>
        <w:tc>
          <w:tcPr>
            <w:tcW w:w="3480" w:type="dxa"/>
            <w:shd w:val="clear" w:color="auto" w:fill="2E5090"/>
          </w:tcPr>
          <w:p w14:paraId="55198B83" w14:textId="77777777" w:rsidR="009D0F57" w:rsidRPr="00D659EC" w:rsidRDefault="00000000">
            <w:pPr>
              <w:spacing w:before="80" w:after="80"/>
              <w:jc w:val="center"/>
              <w:rPr>
                <w:rFonts w:ascii="Calibri" w:hAnsi="Calibri" w:cs="Calibri"/>
              </w:rPr>
            </w:pPr>
            <w:r w:rsidRPr="00D659EC">
              <w:rPr>
                <w:rFonts w:ascii="Calibri" w:eastAsia="Arial" w:hAnsi="Calibri" w:cs="Calibri"/>
                <w:b/>
                <w:bCs/>
                <w:color w:val="FFFFFF"/>
                <w:sz w:val="24"/>
                <w:szCs w:val="24"/>
              </w:rPr>
              <w:t>Price Target: $160</w:t>
            </w:r>
          </w:p>
        </w:tc>
        <w:tc>
          <w:tcPr>
            <w:tcW w:w="3480" w:type="dxa"/>
            <w:shd w:val="clear" w:color="auto" w:fill="375623"/>
          </w:tcPr>
          <w:p w14:paraId="500A133B" w14:textId="77777777" w:rsidR="009D0F57" w:rsidRPr="00D659EC" w:rsidRDefault="00000000">
            <w:pPr>
              <w:spacing w:before="80" w:after="80"/>
              <w:jc w:val="center"/>
              <w:rPr>
                <w:rFonts w:ascii="Calibri" w:hAnsi="Calibri" w:cs="Calibri"/>
              </w:rPr>
            </w:pPr>
            <w:r w:rsidRPr="00D659EC">
              <w:rPr>
                <w:rFonts w:ascii="Calibri" w:eastAsia="Arial" w:hAnsi="Calibri" w:cs="Calibri"/>
                <w:b/>
                <w:bCs/>
                <w:color w:val="FFFFFF"/>
                <w:sz w:val="24"/>
                <w:szCs w:val="24"/>
              </w:rPr>
              <w:t>Current: $313.36</w:t>
            </w:r>
          </w:p>
        </w:tc>
      </w:tr>
    </w:tbl>
    <w:p w14:paraId="1EAA4D0E" w14:textId="77777777" w:rsidR="009D0F57" w:rsidRPr="00D659EC" w:rsidRDefault="009D0F57">
      <w:pPr>
        <w:rPr>
          <w:rFonts w:ascii="Calibri" w:hAnsi="Calibri" w:cs="Calibri"/>
        </w:rPr>
      </w:pPr>
    </w:p>
    <w:p w14:paraId="065AC2DE" w14:textId="77777777" w:rsidR="009D0F57" w:rsidRPr="00D659EC" w:rsidRDefault="00000000">
      <w:pPr>
        <w:spacing w:after="120"/>
        <w:rPr>
          <w:rFonts w:ascii="Calibri" w:hAnsi="Calibri" w:cs="Calibri"/>
        </w:rPr>
      </w:pPr>
      <w:r w:rsidRPr="00D659EC">
        <w:rPr>
          <w:rFonts w:ascii="Calibri" w:eastAsia="Arial" w:hAnsi="Calibri" w:cs="Calibri"/>
          <w:b/>
          <w:bCs/>
          <w:color w:val="1A1A1A"/>
        </w:rPr>
        <w:t xml:space="preserve">Note: </w:t>
      </w:r>
      <w:r w:rsidRPr="00D659EC">
        <w:rPr>
          <w:rFonts w:ascii="Calibri" w:eastAsia="Arial" w:hAnsi="Calibri" w:cs="Calibri"/>
          <w:i/>
          <w:iCs/>
          <w:color w:val="1A1A1A"/>
          <w:sz w:val="18"/>
          <w:szCs w:val="18"/>
        </w:rPr>
        <w:t>Price target of $160 represents the mid-case scenario (WACC: 9.5%, terminal growth: 2.5%) from a 3-year DCF model (FY2026E–FY2028E). Apple's strong FCF generation and capital return program support a HOLD at current valuations. The market price of $313.36 implies a premium the base-case model does not fully capture, though bull-case assumptions (WACC: 8.5%, g: 3.5%) yield a range of $157–$192 per share.</w:t>
      </w:r>
    </w:p>
    <w:p w14:paraId="62F27BA3" w14:textId="77777777" w:rsidR="009D0F57" w:rsidRPr="00D659EC" w:rsidRDefault="00000000">
      <w:pPr>
        <w:pBdr>
          <w:bottom w:val="single" w:sz="6" w:space="0" w:color="1F3864"/>
        </w:pBdr>
        <w:spacing w:before="200" w:after="80"/>
        <w:rPr>
          <w:rFonts w:ascii="Calibri" w:hAnsi="Calibri" w:cs="Calibri"/>
        </w:rPr>
      </w:pPr>
      <w:r w:rsidRPr="00D659EC">
        <w:rPr>
          <w:rFonts w:ascii="Calibri" w:eastAsia="Arial" w:hAnsi="Calibri" w:cs="Calibri"/>
          <w:b/>
          <w:bCs/>
          <w:color w:val="1F3864"/>
          <w:sz w:val="26"/>
          <w:szCs w:val="26"/>
        </w:rPr>
        <w:t>1.  Company Overview</w:t>
      </w:r>
    </w:p>
    <w:p w14:paraId="0B7E16E0" w14:textId="77777777" w:rsidR="009D0F57" w:rsidRPr="00D659EC" w:rsidRDefault="00000000">
      <w:pPr>
        <w:spacing w:after="80"/>
        <w:rPr>
          <w:rFonts w:ascii="Calibri" w:hAnsi="Calibri" w:cs="Calibri"/>
        </w:rPr>
      </w:pPr>
      <w:r w:rsidRPr="00D659EC">
        <w:rPr>
          <w:rFonts w:ascii="Calibri" w:eastAsia="Arial" w:hAnsi="Calibri" w:cs="Calibri"/>
          <w:color w:val="1A1A1A"/>
        </w:rPr>
        <w:t>Apple Inc. (NASDAQ: AAPL) designs, manufactures, and markets consumer electronics, software, and services globally. Its product portfolio includes iPhone, Mac, iPad, and Wearables, while its high-margin Services segment — comprising the App Store, Apple Music, iCloud, and Apple Pay — has become the primary driver of margin expansion. As of FY2025, Apple generated $416B in revenue and $112B in net income, making it one of the most profitable companies in history.</w:t>
      </w:r>
    </w:p>
    <w:p w14:paraId="7F40501C" w14:textId="77777777" w:rsidR="009D0F57" w:rsidRPr="00D659EC" w:rsidRDefault="00000000">
      <w:pPr>
        <w:spacing w:after="120"/>
        <w:rPr>
          <w:rFonts w:ascii="Calibri" w:hAnsi="Calibri" w:cs="Calibri"/>
        </w:rPr>
      </w:pPr>
      <w:r w:rsidRPr="00D659EC">
        <w:rPr>
          <w:rFonts w:ascii="Calibri" w:eastAsia="Arial" w:hAnsi="Calibri" w:cs="Calibri"/>
          <w:color w:val="1A1A1A"/>
        </w:rPr>
        <w:t>Fiscal year ends September. All figures in USD millions unless otherwise stated.</w:t>
      </w:r>
    </w:p>
    <w:p w14:paraId="614E3FFA" w14:textId="77777777" w:rsidR="009D0F57" w:rsidRPr="00D659EC" w:rsidRDefault="00000000">
      <w:pPr>
        <w:pBdr>
          <w:bottom w:val="single" w:sz="6" w:space="0" w:color="1F3864"/>
        </w:pBdr>
        <w:spacing w:before="200" w:after="80"/>
        <w:rPr>
          <w:rFonts w:ascii="Calibri" w:hAnsi="Calibri" w:cs="Calibri"/>
        </w:rPr>
      </w:pPr>
      <w:r w:rsidRPr="00D659EC">
        <w:rPr>
          <w:rFonts w:ascii="Calibri" w:eastAsia="Arial" w:hAnsi="Calibri" w:cs="Calibri"/>
          <w:b/>
          <w:bCs/>
          <w:color w:val="1F3864"/>
          <w:sz w:val="26"/>
          <w:szCs w:val="26"/>
        </w:rPr>
        <w:t>2.  Investment Thesis</w:t>
      </w:r>
    </w:p>
    <w:p w14:paraId="11F932C3"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 xml:space="preserve">Services flywheel </w:t>
      </w:r>
      <w:proofErr w:type="gramStart"/>
      <w:r w:rsidRPr="00D659EC">
        <w:rPr>
          <w:rFonts w:ascii="Calibri" w:eastAsia="Arial" w:hAnsi="Calibri" w:cs="Calibri"/>
          <w:color w:val="1A1A1A"/>
          <w:sz w:val="19"/>
          <w:szCs w:val="19"/>
        </w:rPr>
        <w:t>accelerating:</w:t>
      </w:r>
      <w:proofErr w:type="gramEnd"/>
      <w:r w:rsidRPr="00D659EC">
        <w:rPr>
          <w:rFonts w:ascii="Calibri" w:eastAsia="Arial" w:hAnsi="Calibri" w:cs="Calibri"/>
          <w:color w:val="1A1A1A"/>
          <w:sz w:val="19"/>
          <w:szCs w:val="19"/>
        </w:rPr>
        <w:t xml:space="preserve"> Services revenue grew from $85.2B (FY2023) to $109.2B (FY2025), a ~13% CAGR. With gross margins ~70% vs. ~35% for Products, continued mix shift structurally expands blended margins.</w:t>
      </w:r>
    </w:p>
    <w:p w14:paraId="201D2D9F"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Capital return engine: Apple returned ~$90.7B in share buybacks in FY2025 alone, reducing diluted share count from ~16.9B (FY2021) to ~15.0B (FY2025). This mechanical EPS accretion supports per-share growth even in flat net income environments.</w:t>
      </w:r>
    </w:p>
    <w:p w14:paraId="1A6BEAE1"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Ecosystem lock-in: With ~2.2B active devices, Apple's installed base creates durable switching costs and recurring services monetization opportunities that are difficult to model but meaningful to value.</w:t>
      </w:r>
    </w:p>
    <w:p w14:paraId="391E8378"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Valuation concern: At $313.36, the market is pricing significant growth optionality (AI integration, Vision Pro, India expansion) not yet visible in financials. Base-case DCF implies -60% downside, suggesting the stock is priced for perfection.</w:t>
      </w:r>
    </w:p>
    <w:p w14:paraId="62A6623E" w14:textId="77777777" w:rsidR="009D0F57" w:rsidRPr="00D659EC" w:rsidRDefault="009D0F57">
      <w:pPr>
        <w:rPr>
          <w:rFonts w:ascii="Calibri" w:hAnsi="Calibri" w:cs="Calibri"/>
        </w:rPr>
      </w:pPr>
    </w:p>
    <w:p w14:paraId="2413C196" w14:textId="77777777" w:rsidR="009D0F57" w:rsidRPr="00D659EC" w:rsidRDefault="00000000">
      <w:pPr>
        <w:pBdr>
          <w:bottom w:val="single" w:sz="6" w:space="0" w:color="1F3864"/>
        </w:pBdr>
        <w:spacing w:before="200" w:after="80"/>
        <w:rPr>
          <w:rFonts w:ascii="Calibri" w:hAnsi="Calibri" w:cs="Calibri"/>
        </w:rPr>
      </w:pPr>
      <w:r w:rsidRPr="00D659EC">
        <w:rPr>
          <w:rFonts w:ascii="Calibri" w:eastAsia="Arial" w:hAnsi="Calibri" w:cs="Calibri"/>
          <w:b/>
          <w:bCs/>
          <w:color w:val="1F3864"/>
          <w:sz w:val="26"/>
          <w:szCs w:val="26"/>
        </w:rPr>
        <w:t>3.  Financial Summary</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1"/>
        <w:gridCol w:w="1775"/>
        <w:gridCol w:w="1775"/>
        <w:gridCol w:w="1775"/>
        <w:gridCol w:w="1774"/>
      </w:tblGrid>
      <w:tr w:rsidR="009D0F57" w:rsidRPr="00D659EC" w14:paraId="6B3975F8" w14:textId="77777777">
        <w:tblPrEx>
          <w:tblCellMar>
            <w:top w:w="0" w:type="dxa"/>
            <w:bottom w:w="0" w:type="dxa"/>
          </w:tblCellMar>
        </w:tblPrEx>
        <w:tc>
          <w:tcPr>
            <w:tcW w:w="3341" w:type="dxa"/>
            <w:shd w:val="clear" w:color="auto" w:fill="1F3864"/>
            <w:vAlign w:val="center"/>
          </w:tcPr>
          <w:p w14:paraId="24F661E6"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Metric</w:t>
            </w:r>
          </w:p>
        </w:tc>
        <w:tc>
          <w:tcPr>
            <w:tcW w:w="1775" w:type="dxa"/>
            <w:shd w:val="clear" w:color="auto" w:fill="1F3864"/>
            <w:vAlign w:val="center"/>
          </w:tcPr>
          <w:p w14:paraId="1B167632"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FY2023A</w:t>
            </w:r>
          </w:p>
        </w:tc>
        <w:tc>
          <w:tcPr>
            <w:tcW w:w="1775" w:type="dxa"/>
            <w:shd w:val="clear" w:color="auto" w:fill="1F3864"/>
            <w:vAlign w:val="center"/>
          </w:tcPr>
          <w:p w14:paraId="47C11423"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FY2024A</w:t>
            </w:r>
          </w:p>
        </w:tc>
        <w:tc>
          <w:tcPr>
            <w:tcW w:w="1775" w:type="dxa"/>
            <w:shd w:val="clear" w:color="auto" w:fill="1F3864"/>
            <w:vAlign w:val="center"/>
          </w:tcPr>
          <w:p w14:paraId="552E507D"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FY2025A</w:t>
            </w:r>
          </w:p>
        </w:tc>
        <w:tc>
          <w:tcPr>
            <w:tcW w:w="1774" w:type="dxa"/>
            <w:shd w:val="clear" w:color="auto" w:fill="1F3864"/>
            <w:vAlign w:val="center"/>
          </w:tcPr>
          <w:p w14:paraId="6CD2BA14"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FY2028E</w:t>
            </w:r>
          </w:p>
        </w:tc>
      </w:tr>
      <w:tr w:rsidR="009D0F57" w:rsidRPr="00D659EC" w14:paraId="31DD1BA6" w14:textId="77777777">
        <w:tblPrEx>
          <w:tblCellMar>
            <w:top w:w="0" w:type="dxa"/>
            <w:bottom w:w="0" w:type="dxa"/>
          </w:tblCellMar>
        </w:tblPrEx>
        <w:tc>
          <w:tcPr>
            <w:tcW w:w="3341" w:type="dxa"/>
            <w:shd w:val="clear" w:color="auto" w:fill="F2F2F2"/>
            <w:vAlign w:val="center"/>
          </w:tcPr>
          <w:p w14:paraId="166F89BB"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Revenue ($mm)</w:t>
            </w:r>
          </w:p>
        </w:tc>
        <w:tc>
          <w:tcPr>
            <w:tcW w:w="1775" w:type="dxa"/>
            <w:shd w:val="clear" w:color="auto" w:fill="F2F2F2"/>
            <w:vAlign w:val="center"/>
          </w:tcPr>
          <w:p w14:paraId="50038E4B"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$383,285</w:t>
            </w:r>
          </w:p>
        </w:tc>
        <w:tc>
          <w:tcPr>
            <w:tcW w:w="1775" w:type="dxa"/>
            <w:shd w:val="clear" w:color="auto" w:fill="F2F2F2"/>
            <w:vAlign w:val="center"/>
          </w:tcPr>
          <w:p w14:paraId="3376B866"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$391,035</w:t>
            </w:r>
          </w:p>
        </w:tc>
        <w:tc>
          <w:tcPr>
            <w:tcW w:w="1775" w:type="dxa"/>
            <w:shd w:val="clear" w:color="auto" w:fill="F2F2F2"/>
            <w:vAlign w:val="center"/>
          </w:tcPr>
          <w:p w14:paraId="6C8D0322"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$416,161</w:t>
            </w:r>
          </w:p>
        </w:tc>
        <w:tc>
          <w:tcPr>
            <w:tcW w:w="1774" w:type="dxa"/>
            <w:shd w:val="clear" w:color="auto" w:fill="F2F2F2"/>
            <w:vAlign w:val="center"/>
          </w:tcPr>
          <w:p w14:paraId="78BE26A2"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$494,612</w:t>
            </w:r>
          </w:p>
        </w:tc>
      </w:tr>
      <w:tr w:rsidR="009D0F57" w:rsidRPr="00D659EC" w14:paraId="5B53C71C" w14:textId="77777777">
        <w:tblPrEx>
          <w:tblCellMar>
            <w:top w:w="0" w:type="dxa"/>
            <w:bottom w:w="0" w:type="dxa"/>
          </w:tblCellMar>
        </w:tblPrEx>
        <w:tc>
          <w:tcPr>
            <w:tcW w:w="3341" w:type="dxa"/>
            <w:vAlign w:val="center"/>
          </w:tcPr>
          <w:p w14:paraId="0A7A8075"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Gross Margin %</w:t>
            </w:r>
          </w:p>
        </w:tc>
        <w:tc>
          <w:tcPr>
            <w:tcW w:w="1775" w:type="dxa"/>
            <w:vAlign w:val="center"/>
          </w:tcPr>
          <w:p w14:paraId="189EB11E"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44.1%</w:t>
            </w:r>
          </w:p>
        </w:tc>
        <w:tc>
          <w:tcPr>
            <w:tcW w:w="1775" w:type="dxa"/>
            <w:vAlign w:val="center"/>
          </w:tcPr>
          <w:p w14:paraId="1AFD909C"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46.2%</w:t>
            </w:r>
          </w:p>
        </w:tc>
        <w:tc>
          <w:tcPr>
            <w:tcW w:w="1775" w:type="dxa"/>
            <w:vAlign w:val="center"/>
          </w:tcPr>
          <w:p w14:paraId="0CA179CE"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46.9%</w:t>
            </w:r>
          </w:p>
        </w:tc>
        <w:tc>
          <w:tcPr>
            <w:tcW w:w="1774" w:type="dxa"/>
            <w:vAlign w:val="center"/>
          </w:tcPr>
          <w:p w14:paraId="29CA921A"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47.5%</w:t>
            </w:r>
          </w:p>
        </w:tc>
      </w:tr>
      <w:tr w:rsidR="009D0F57" w:rsidRPr="00D659EC" w14:paraId="7B92582D" w14:textId="77777777">
        <w:tblPrEx>
          <w:tblCellMar>
            <w:top w:w="0" w:type="dxa"/>
            <w:bottom w:w="0" w:type="dxa"/>
          </w:tblCellMar>
        </w:tblPrEx>
        <w:tc>
          <w:tcPr>
            <w:tcW w:w="3341" w:type="dxa"/>
            <w:shd w:val="clear" w:color="auto" w:fill="F2F2F2"/>
            <w:vAlign w:val="center"/>
          </w:tcPr>
          <w:p w14:paraId="380A6AF1"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EBIT Margin %</w:t>
            </w:r>
          </w:p>
        </w:tc>
        <w:tc>
          <w:tcPr>
            <w:tcW w:w="1775" w:type="dxa"/>
            <w:shd w:val="clear" w:color="auto" w:fill="F2F2F2"/>
            <w:vAlign w:val="center"/>
          </w:tcPr>
          <w:p w14:paraId="02B57D5D"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29.8%</w:t>
            </w:r>
          </w:p>
        </w:tc>
        <w:tc>
          <w:tcPr>
            <w:tcW w:w="1775" w:type="dxa"/>
            <w:shd w:val="clear" w:color="auto" w:fill="F2F2F2"/>
            <w:vAlign w:val="center"/>
          </w:tcPr>
          <w:p w14:paraId="07971C26"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31.5%</w:t>
            </w:r>
          </w:p>
        </w:tc>
        <w:tc>
          <w:tcPr>
            <w:tcW w:w="1775" w:type="dxa"/>
            <w:shd w:val="clear" w:color="auto" w:fill="F2F2F2"/>
            <w:vAlign w:val="center"/>
          </w:tcPr>
          <w:p w14:paraId="4B1F9C99"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32.0%</w:t>
            </w:r>
          </w:p>
        </w:tc>
        <w:tc>
          <w:tcPr>
            <w:tcW w:w="1774" w:type="dxa"/>
            <w:shd w:val="clear" w:color="auto" w:fill="F2F2F2"/>
            <w:vAlign w:val="center"/>
          </w:tcPr>
          <w:p w14:paraId="16C76C4C"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32.4%</w:t>
            </w:r>
          </w:p>
        </w:tc>
      </w:tr>
      <w:tr w:rsidR="009D0F57" w:rsidRPr="00D659EC" w14:paraId="0492EFC6" w14:textId="77777777">
        <w:tblPrEx>
          <w:tblCellMar>
            <w:top w:w="0" w:type="dxa"/>
            <w:bottom w:w="0" w:type="dxa"/>
          </w:tblCellMar>
        </w:tblPrEx>
        <w:tc>
          <w:tcPr>
            <w:tcW w:w="3341" w:type="dxa"/>
            <w:vAlign w:val="center"/>
          </w:tcPr>
          <w:p w14:paraId="384DBBDF"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Net Income ($mm)</w:t>
            </w:r>
          </w:p>
        </w:tc>
        <w:tc>
          <w:tcPr>
            <w:tcW w:w="1775" w:type="dxa"/>
            <w:vAlign w:val="center"/>
          </w:tcPr>
          <w:p w14:paraId="192D27B7"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$96,995</w:t>
            </w:r>
          </w:p>
        </w:tc>
        <w:tc>
          <w:tcPr>
            <w:tcW w:w="1775" w:type="dxa"/>
            <w:vAlign w:val="center"/>
          </w:tcPr>
          <w:p w14:paraId="745958D1"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$93,736</w:t>
            </w:r>
          </w:p>
        </w:tc>
        <w:tc>
          <w:tcPr>
            <w:tcW w:w="1775" w:type="dxa"/>
            <w:vAlign w:val="center"/>
          </w:tcPr>
          <w:p w14:paraId="22B132C1"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$112,010</w:t>
            </w:r>
          </w:p>
        </w:tc>
        <w:tc>
          <w:tcPr>
            <w:tcW w:w="1774" w:type="dxa"/>
            <w:vAlign w:val="center"/>
          </w:tcPr>
          <w:p w14:paraId="02F4CE17"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$134,344</w:t>
            </w:r>
          </w:p>
        </w:tc>
      </w:tr>
      <w:tr w:rsidR="009D0F57" w:rsidRPr="00D659EC" w14:paraId="7AA6DF6B" w14:textId="77777777">
        <w:tblPrEx>
          <w:tblCellMar>
            <w:top w:w="0" w:type="dxa"/>
            <w:bottom w:w="0" w:type="dxa"/>
          </w:tblCellMar>
        </w:tblPrEx>
        <w:tc>
          <w:tcPr>
            <w:tcW w:w="3341" w:type="dxa"/>
            <w:shd w:val="clear" w:color="auto" w:fill="F2F2F2"/>
            <w:vAlign w:val="center"/>
          </w:tcPr>
          <w:p w14:paraId="140520E1"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EPS (Diluted)</w:t>
            </w:r>
          </w:p>
        </w:tc>
        <w:tc>
          <w:tcPr>
            <w:tcW w:w="1775" w:type="dxa"/>
            <w:shd w:val="clear" w:color="auto" w:fill="F2F2F2"/>
            <w:vAlign w:val="center"/>
          </w:tcPr>
          <w:p w14:paraId="23CB06B7"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$6.13</w:t>
            </w:r>
          </w:p>
        </w:tc>
        <w:tc>
          <w:tcPr>
            <w:tcW w:w="1775" w:type="dxa"/>
            <w:shd w:val="clear" w:color="auto" w:fill="F2F2F2"/>
            <w:vAlign w:val="center"/>
          </w:tcPr>
          <w:p w14:paraId="3ECD686D"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$6.08</w:t>
            </w:r>
          </w:p>
        </w:tc>
        <w:tc>
          <w:tcPr>
            <w:tcW w:w="1775" w:type="dxa"/>
            <w:shd w:val="clear" w:color="auto" w:fill="F2F2F2"/>
            <w:vAlign w:val="center"/>
          </w:tcPr>
          <w:p w14:paraId="692BEC02"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$7.46</w:t>
            </w:r>
          </w:p>
        </w:tc>
        <w:tc>
          <w:tcPr>
            <w:tcW w:w="1774" w:type="dxa"/>
            <w:shd w:val="clear" w:color="auto" w:fill="F2F2F2"/>
            <w:vAlign w:val="center"/>
          </w:tcPr>
          <w:p w14:paraId="5509F91E"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$9.66</w:t>
            </w:r>
          </w:p>
        </w:tc>
      </w:tr>
      <w:tr w:rsidR="009D0F57" w:rsidRPr="00D659EC" w14:paraId="26E5245C" w14:textId="77777777">
        <w:tblPrEx>
          <w:tblCellMar>
            <w:top w:w="0" w:type="dxa"/>
            <w:bottom w:w="0" w:type="dxa"/>
          </w:tblCellMar>
        </w:tblPrEx>
        <w:tc>
          <w:tcPr>
            <w:tcW w:w="3341" w:type="dxa"/>
            <w:vAlign w:val="center"/>
          </w:tcPr>
          <w:p w14:paraId="6ED5FECF"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FCF ($mm)</w:t>
            </w:r>
          </w:p>
        </w:tc>
        <w:tc>
          <w:tcPr>
            <w:tcW w:w="1775" w:type="dxa"/>
            <w:vAlign w:val="center"/>
          </w:tcPr>
          <w:p w14:paraId="229D3D78"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$99,584</w:t>
            </w:r>
          </w:p>
        </w:tc>
        <w:tc>
          <w:tcPr>
            <w:tcW w:w="1775" w:type="dxa"/>
            <w:vAlign w:val="center"/>
          </w:tcPr>
          <w:p w14:paraId="054BD839"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$108,807</w:t>
            </w:r>
          </w:p>
        </w:tc>
        <w:tc>
          <w:tcPr>
            <w:tcW w:w="1775" w:type="dxa"/>
            <w:vAlign w:val="center"/>
          </w:tcPr>
          <w:p w14:paraId="49B2BBF4"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$98,767</w:t>
            </w:r>
          </w:p>
        </w:tc>
        <w:tc>
          <w:tcPr>
            <w:tcW w:w="1774" w:type="dxa"/>
            <w:vAlign w:val="center"/>
          </w:tcPr>
          <w:p w14:paraId="68E150C9"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$146,800</w:t>
            </w:r>
          </w:p>
        </w:tc>
      </w:tr>
      <w:tr w:rsidR="009D0F57" w:rsidRPr="00D659EC" w14:paraId="5AB5884E" w14:textId="77777777">
        <w:tblPrEx>
          <w:tblCellMar>
            <w:top w:w="0" w:type="dxa"/>
            <w:bottom w:w="0" w:type="dxa"/>
          </w:tblCellMar>
        </w:tblPrEx>
        <w:tc>
          <w:tcPr>
            <w:tcW w:w="3341" w:type="dxa"/>
            <w:shd w:val="clear" w:color="auto" w:fill="F2F2F2"/>
            <w:vAlign w:val="center"/>
          </w:tcPr>
          <w:p w14:paraId="3FB0A222"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Revenue CAGR (FY2025–2028E)</w:t>
            </w:r>
          </w:p>
        </w:tc>
        <w:tc>
          <w:tcPr>
            <w:tcW w:w="1775" w:type="dxa"/>
            <w:shd w:val="clear" w:color="auto" w:fill="F2F2F2"/>
            <w:vAlign w:val="center"/>
          </w:tcPr>
          <w:p w14:paraId="7648BB7B"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w:t>
            </w:r>
          </w:p>
        </w:tc>
        <w:tc>
          <w:tcPr>
            <w:tcW w:w="1775" w:type="dxa"/>
            <w:shd w:val="clear" w:color="auto" w:fill="F2F2F2"/>
            <w:vAlign w:val="center"/>
          </w:tcPr>
          <w:p w14:paraId="5F4D4250"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w:t>
            </w:r>
          </w:p>
        </w:tc>
        <w:tc>
          <w:tcPr>
            <w:tcW w:w="1775" w:type="dxa"/>
            <w:shd w:val="clear" w:color="auto" w:fill="F2F2F2"/>
            <w:vAlign w:val="center"/>
          </w:tcPr>
          <w:p w14:paraId="31F5CECE"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w:t>
            </w:r>
          </w:p>
        </w:tc>
        <w:tc>
          <w:tcPr>
            <w:tcW w:w="1774" w:type="dxa"/>
            <w:shd w:val="clear" w:color="auto" w:fill="F2F2F2"/>
            <w:vAlign w:val="center"/>
          </w:tcPr>
          <w:p w14:paraId="3E0B8336"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A1A1A"/>
                <w:sz w:val="18"/>
                <w:szCs w:val="18"/>
              </w:rPr>
              <w:t>~5.9%</w:t>
            </w:r>
          </w:p>
        </w:tc>
      </w:tr>
    </w:tbl>
    <w:p w14:paraId="013B0270" w14:textId="77777777" w:rsidR="009D0F57" w:rsidRPr="00D659EC" w:rsidRDefault="009D0F57">
      <w:pPr>
        <w:rPr>
          <w:rFonts w:ascii="Calibri" w:hAnsi="Calibri" w:cs="Calibri"/>
        </w:rPr>
      </w:pPr>
    </w:p>
    <w:p w14:paraId="4FD93DF5" w14:textId="77777777" w:rsidR="009D0F57" w:rsidRPr="00D659EC" w:rsidRDefault="00000000">
      <w:pPr>
        <w:spacing w:after="120"/>
        <w:jc w:val="center"/>
        <w:rPr>
          <w:rFonts w:ascii="Calibri" w:hAnsi="Calibri" w:cs="Calibri"/>
        </w:rPr>
      </w:pPr>
      <w:r w:rsidRPr="00D659EC">
        <w:rPr>
          <w:rFonts w:ascii="Calibri" w:eastAsia="Arial" w:hAnsi="Calibri" w:cs="Calibri"/>
          <w:b/>
          <w:bCs/>
          <w:color w:val="1A1A1A"/>
          <w:sz w:val="18"/>
          <w:szCs w:val="18"/>
        </w:rPr>
        <w:t>Revenue CAGR (FY2025–FY2028E): ~5.9</w:t>
      </w:r>
      <w:proofErr w:type="gramStart"/>
      <w:r w:rsidRPr="00D659EC">
        <w:rPr>
          <w:rFonts w:ascii="Calibri" w:eastAsia="Arial" w:hAnsi="Calibri" w:cs="Calibri"/>
          <w:b/>
          <w:bCs/>
          <w:color w:val="1A1A1A"/>
          <w:sz w:val="18"/>
          <w:szCs w:val="18"/>
        </w:rPr>
        <w:t>%  |</w:t>
      </w:r>
      <w:proofErr w:type="gramEnd"/>
      <w:r w:rsidRPr="00D659EC">
        <w:rPr>
          <w:rFonts w:ascii="Calibri" w:eastAsia="Arial" w:hAnsi="Calibri" w:cs="Calibri"/>
          <w:b/>
          <w:bCs/>
          <w:color w:val="1A1A1A"/>
          <w:sz w:val="18"/>
          <w:szCs w:val="18"/>
        </w:rPr>
        <w:t xml:space="preserve">  EPS CAGR: ~9.0</w:t>
      </w:r>
      <w:proofErr w:type="gramStart"/>
      <w:r w:rsidRPr="00D659EC">
        <w:rPr>
          <w:rFonts w:ascii="Calibri" w:eastAsia="Arial" w:hAnsi="Calibri" w:cs="Calibri"/>
          <w:b/>
          <w:bCs/>
          <w:color w:val="1A1A1A"/>
          <w:sz w:val="18"/>
          <w:szCs w:val="18"/>
        </w:rPr>
        <w:t>%  |</w:t>
      </w:r>
      <w:proofErr w:type="gramEnd"/>
      <w:r w:rsidRPr="00D659EC">
        <w:rPr>
          <w:rFonts w:ascii="Calibri" w:eastAsia="Arial" w:hAnsi="Calibri" w:cs="Calibri"/>
          <w:b/>
          <w:bCs/>
          <w:color w:val="1A1A1A"/>
          <w:sz w:val="18"/>
          <w:szCs w:val="18"/>
        </w:rPr>
        <w:t xml:space="preserve">  FCF CAGR: ~14.1%</w:t>
      </w:r>
    </w:p>
    <w:p w14:paraId="5C2AAD7B" w14:textId="77777777" w:rsidR="009D0F57" w:rsidRPr="00D659EC" w:rsidRDefault="00000000">
      <w:pPr>
        <w:pBdr>
          <w:bottom w:val="single" w:sz="6" w:space="0" w:color="1F3864"/>
        </w:pBdr>
        <w:spacing w:before="200" w:after="80"/>
        <w:rPr>
          <w:rFonts w:ascii="Calibri" w:hAnsi="Calibri" w:cs="Calibri"/>
        </w:rPr>
      </w:pPr>
      <w:r w:rsidRPr="00D659EC">
        <w:rPr>
          <w:rFonts w:ascii="Calibri" w:eastAsia="Arial" w:hAnsi="Calibri" w:cs="Calibri"/>
          <w:b/>
          <w:bCs/>
          <w:color w:val="1F3864"/>
          <w:sz w:val="26"/>
          <w:szCs w:val="26"/>
        </w:rPr>
        <w:t>4.  Valuation — DCF Analysis</w:t>
      </w:r>
    </w:p>
    <w:p w14:paraId="6C4E25F1" w14:textId="77777777" w:rsidR="009D0F57" w:rsidRPr="00D659EC" w:rsidRDefault="00000000">
      <w:pPr>
        <w:spacing w:after="80"/>
        <w:rPr>
          <w:rFonts w:ascii="Calibri" w:hAnsi="Calibri" w:cs="Calibri"/>
        </w:rPr>
      </w:pPr>
      <w:r w:rsidRPr="00D659EC">
        <w:rPr>
          <w:rFonts w:ascii="Calibri" w:eastAsia="Arial" w:hAnsi="Calibri" w:cs="Calibri"/>
          <w:b/>
          <w:bCs/>
          <w:color w:val="1A1A1A"/>
        </w:rPr>
        <w:t xml:space="preserve">Methodology: </w:t>
      </w:r>
      <w:r w:rsidRPr="00D659EC">
        <w:rPr>
          <w:rFonts w:ascii="Calibri" w:eastAsia="Arial" w:hAnsi="Calibri" w:cs="Calibri"/>
          <w:color w:val="1A1A1A"/>
        </w:rPr>
        <w:t>3-year unlevered DCF (FY2026E–FY2028E) using Free Cash Flow to Firm (FCFF). Terminal value calculated using the Gordon Growth Model. Enterprise value bridged to equity value by adding net cash and deducting debt.</w:t>
      </w:r>
    </w:p>
    <w:p w14:paraId="0D127BBA" w14:textId="77777777" w:rsidR="009D0F57" w:rsidRPr="00D659EC" w:rsidRDefault="00000000">
      <w:pPr>
        <w:spacing w:after="40"/>
        <w:rPr>
          <w:rFonts w:ascii="Calibri" w:hAnsi="Calibri" w:cs="Calibri"/>
        </w:rPr>
      </w:pPr>
      <w:r w:rsidRPr="00D659EC">
        <w:rPr>
          <w:rFonts w:ascii="Calibri" w:eastAsia="Arial" w:hAnsi="Calibri" w:cs="Calibri"/>
          <w:b/>
          <w:bCs/>
          <w:color w:val="1F3864"/>
        </w:rPr>
        <w:t>WACC Build</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2"/>
        <w:gridCol w:w="4698"/>
      </w:tblGrid>
      <w:tr w:rsidR="009D0F57" w:rsidRPr="00D659EC" w14:paraId="74B2A3C1" w14:textId="77777777">
        <w:tblPrEx>
          <w:tblCellMar>
            <w:top w:w="0" w:type="dxa"/>
            <w:bottom w:w="0" w:type="dxa"/>
          </w:tblCellMar>
        </w:tblPrEx>
        <w:tc>
          <w:tcPr>
            <w:tcW w:w="5742" w:type="dxa"/>
            <w:shd w:val="clear" w:color="auto" w:fill="1F3864"/>
            <w:vAlign w:val="center"/>
          </w:tcPr>
          <w:p w14:paraId="192134B6"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WACC Component</w:t>
            </w:r>
          </w:p>
        </w:tc>
        <w:tc>
          <w:tcPr>
            <w:tcW w:w="4698" w:type="dxa"/>
            <w:shd w:val="clear" w:color="auto" w:fill="1F3864"/>
            <w:vAlign w:val="center"/>
          </w:tcPr>
          <w:p w14:paraId="29EFEF0E"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Value</w:t>
            </w:r>
          </w:p>
        </w:tc>
      </w:tr>
      <w:tr w:rsidR="009D0F57" w:rsidRPr="00D659EC" w14:paraId="26B464C5" w14:textId="77777777">
        <w:tblPrEx>
          <w:tblCellMar>
            <w:top w:w="0" w:type="dxa"/>
            <w:bottom w:w="0" w:type="dxa"/>
          </w:tblCellMar>
        </w:tblPrEx>
        <w:tc>
          <w:tcPr>
            <w:tcW w:w="5742" w:type="dxa"/>
            <w:shd w:val="clear" w:color="auto" w:fill="F2F2F2"/>
            <w:vAlign w:val="center"/>
          </w:tcPr>
          <w:p w14:paraId="044121BF"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Risk-Free Rate (10-yr Treasury)</w:t>
            </w:r>
          </w:p>
        </w:tc>
        <w:tc>
          <w:tcPr>
            <w:tcW w:w="4698" w:type="dxa"/>
            <w:shd w:val="clear" w:color="auto" w:fill="F2F2F2"/>
            <w:vAlign w:val="center"/>
          </w:tcPr>
          <w:p w14:paraId="51B84ED0"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4.62%</w:t>
            </w:r>
          </w:p>
        </w:tc>
      </w:tr>
      <w:tr w:rsidR="009D0F57" w:rsidRPr="00D659EC" w14:paraId="4543A5F5" w14:textId="77777777">
        <w:tblPrEx>
          <w:tblCellMar>
            <w:top w:w="0" w:type="dxa"/>
            <w:bottom w:w="0" w:type="dxa"/>
          </w:tblCellMar>
        </w:tblPrEx>
        <w:tc>
          <w:tcPr>
            <w:tcW w:w="5742" w:type="dxa"/>
            <w:vAlign w:val="center"/>
          </w:tcPr>
          <w:p w14:paraId="718A9FEC"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Equity Risk Premium</w:t>
            </w:r>
          </w:p>
        </w:tc>
        <w:tc>
          <w:tcPr>
            <w:tcW w:w="4698" w:type="dxa"/>
            <w:vAlign w:val="center"/>
          </w:tcPr>
          <w:p w14:paraId="6E261013"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4.18%</w:t>
            </w:r>
          </w:p>
        </w:tc>
      </w:tr>
      <w:tr w:rsidR="009D0F57" w:rsidRPr="00D659EC" w14:paraId="159EE281" w14:textId="77777777">
        <w:tblPrEx>
          <w:tblCellMar>
            <w:top w:w="0" w:type="dxa"/>
            <w:bottom w:w="0" w:type="dxa"/>
          </w:tblCellMar>
        </w:tblPrEx>
        <w:tc>
          <w:tcPr>
            <w:tcW w:w="5742" w:type="dxa"/>
            <w:shd w:val="clear" w:color="auto" w:fill="F2F2F2"/>
            <w:vAlign w:val="center"/>
          </w:tcPr>
          <w:p w14:paraId="4F4287FD"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Beta (AAPL)</w:t>
            </w:r>
          </w:p>
        </w:tc>
        <w:tc>
          <w:tcPr>
            <w:tcW w:w="4698" w:type="dxa"/>
            <w:shd w:val="clear" w:color="auto" w:fill="F2F2F2"/>
            <w:vAlign w:val="center"/>
          </w:tcPr>
          <w:p w14:paraId="4667C289"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1.20x</w:t>
            </w:r>
          </w:p>
        </w:tc>
      </w:tr>
      <w:tr w:rsidR="009D0F57" w:rsidRPr="00D659EC" w14:paraId="5EDA384D" w14:textId="77777777">
        <w:tblPrEx>
          <w:tblCellMar>
            <w:top w:w="0" w:type="dxa"/>
            <w:bottom w:w="0" w:type="dxa"/>
          </w:tblCellMar>
        </w:tblPrEx>
        <w:tc>
          <w:tcPr>
            <w:tcW w:w="5742" w:type="dxa"/>
            <w:vAlign w:val="center"/>
          </w:tcPr>
          <w:p w14:paraId="0B643573"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Cost of Equity</w:t>
            </w:r>
          </w:p>
        </w:tc>
        <w:tc>
          <w:tcPr>
            <w:tcW w:w="4698" w:type="dxa"/>
            <w:vAlign w:val="center"/>
          </w:tcPr>
          <w:p w14:paraId="1E63344D"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9.64%</w:t>
            </w:r>
          </w:p>
        </w:tc>
      </w:tr>
      <w:tr w:rsidR="009D0F57" w:rsidRPr="00D659EC" w14:paraId="7E4648B0" w14:textId="77777777">
        <w:tblPrEx>
          <w:tblCellMar>
            <w:top w:w="0" w:type="dxa"/>
            <w:bottom w:w="0" w:type="dxa"/>
          </w:tblCellMar>
        </w:tblPrEx>
        <w:tc>
          <w:tcPr>
            <w:tcW w:w="5742" w:type="dxa"/>
            <w:shd w:val="clear" w:color="auto" w:fill="F2F2F2"/>
            <w:vAlign w:val="center"/>
          </w:tcPr>
          <w:p w14:paraId="74AEC300"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lastRenderedPageBreak/>
              <w:t>Pre-tax Cost of Debt</w:t>
            </w:r>
          </w:p>
        </w:tc>
        <w:tc>
          <w:tcPr>
            <w:tcW w:w="4698" w:type="dxa"/>
            <w:shd w:val="clear" w:color="auto" w:fill="F2F2F2"/>
            <w:vAlign w:val="center"/>
          </w:tcPr>
          <w:p w14:paraId="6F7BDFD1"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4.00%</w:t>
            </w:r>
          </w:p>
        </w:tc>
      </w:tr>
      <w:tr w:rsidR="009D0F57" w:rsidRPr="00D659EC" w14:paraId="410EF559" w14:textId="77777777">
        <w:tblPrEx>
          <w:tblCellMar>
            <w:top w:w="0" w:type="dxa"/>
            <w:bottom w:w="0" w:type="dxa"/>
          </w:tblCellMar>
        </w:tblPrEx>
        <w:tc>
          <w:tcPr>
            <w:tcW w:w="5742" w:type="dxa"/>
            <w:vAlign w:val="center"/>
          </w:tcPr>
          <w:p w14:paraId="695F7A33"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After-tax Cost of Debt (@ 16% tax)</w:t>
            </w:r>
          </w:p>
        </w:tc>
        <w:tc>
          <w:tcPr>
            <w:tcW w:w="4698" w:type="dxa"/>
            <w:vAlign w:val="center"/>
          </w:tcPr>
          <w:p w14:paraId="0EDFF6E2"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3.36%</w:t>
            </w:r>
          </w:p>
        </w:tc>
      </w:tr>
      <w:tr w:rsidR="009D0F57" w:rsidRPr="00D659EC" w14:paraId="2B93A91B" w14:textId="77777777">
        <w:tblPrEx>
          <w:tblCellMar>
            <w:top w:w="0" w:type="dxa"/>
            <w:bottom w:w="0" w:type="dxa"/>
          </w:tblCellMar>
        </w:tblPrEx>
        <w:tc>
          <w:tcPr>
            <w:tcW w:w="5742" w:type="dxa"/>
            <w:shd w:val="clear" w:color="auto" w:fill="F2F2F2"/>
            <w:vAlign w:val="center"/>
          </w:tcPr>
          <w:p w14:paraId="75E7287A" w14:textId="77777777" w:rsidR="009D0F57" w:rsidRPr="00D659EC" w:rsidRDefault="00000000">
            <w:pPr>
              <w:spacing w:before="30" w:after="30"/>
              <w:rPr>
                <w:rFonts w:ascii="Calibri" w:hAnsi="Calibri" w:cs="Calibri"/>
              </w:rPr>
            </w:pPr>
            <w:r w:rsidRPr="00D659EC">
              <w:rPr>
                <w:rFonts w:ascii="Calibri" w:eastAsia="Arial" w:hAnsi="Calibri" w:cs="Calibri"/>
                <w:color w:val="1A1A1A"/>
                <w:sz w:val="18"/>
                <w:szCs w:val="18"/>
              </w:rPr>
              <w:t>Weight of Equity (E/V)</w:t>
            </w:r>
          </w:p>
        </w:tc>
        <w:tc>
          <w:tcPr>
            <w:tcW w:w="4698" w:type="dxa"/>
            <w:shd w:val="clear" w:color="auto" w:fill="F2F2F2"/>
            <w:vAlign w:val="center"/>
          </w:tcPr>
          <w:p w14:paraId="4008C5A9"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97.9%</w:t>
            </w:r>
          </w:p>
        </w:tc>
      </w:tr>
      <w:tr w:rsidR="009D0F57" w:rsidRPr="00D659EC" w14:paraId="16127998" w14:textId="77777777">
        <w:tblPrEx>
          <w:tblCellMar>
            <w:top w:w="0" w:type="dxa"/>
            <w:bottom w:w="0" w:type="dxa"/>
          </w:tblCellMar>
        </w:tblPrEx>
        <w:tc>
          <w:tcPr>
            <w:tcW w:w="5742" w:type="dxa"/>
            <w:vAlign w:val="center"/>
          </w:tcPr>
          <w:p w14:paraId="5ACB39F0" w14:textId="77777777" w:rsidR="009D0F57" w:rsidRPr="00D659EC" w:rsidRDefault="00000000">
            <w:pPr>
              <w:spacing w:before="30" w:after="30"/>
              <w:rPr>
                <w:rFonts w:ascii="Calibri" w:hAnsi="Calibri" w:cs="Calibri"/>
              </w:rPr>
            </w:pPr>
            <w:r w:rsidRPr="00D659EC">
              <w:rPr>
                <w:rFonts w:ascii="Calibri" w:eastAsia="Arial" w:hAnsi="Calibri" w:cs="Calibri"/>
                <w:b/>
                <w:bCs/>
                <w:color w:val="1A1A1A"/>
                <w:sz w:val="18"/>
                <w:szCs w:val="18"/>
              </w:rPr>
              <w:t>WACC</w:t>
            </w:r>
          </w:p>
        </w:tc>
        <w:tc>
          <w:tcPr>
            <w:tcW w:w="4698" w:type="dxa"/>
            <w:vAlign w:val="center"/>
          </w:tcPr>
          <w:p w14:paraId="417A90D1"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1F3864"/>
                <w:sz w:val="18"/>
                <w:szCs w:val="18"/>
              </w:rPr>
              <w:t>9.50%</w:t>
            </w:r>
          </w:p>
        </w:tc>
      </w:tr>
    </w:tbl>
    <w:p w14:paraId="5DCF83A0" w14:textId="77777777" w:rsidR="009D0F57" w:rsidRPr="00D659EC" w:rsidRDefault="009D0F57">
      <w:pPr>
        <w:rPr>
          <w:rFonts w:ascii="Calibri" w:hAnsi="Calibri" w:cs="Calibri"/>
        </w:rPr>
      </w:pPr>
    </w:p>
    <w:p w14:paraId="7CF96EEF" w14:textId="77777777" w:rsidR="009D0F57" w:rsidRPr="00D659EC" w:rsidRDefault="00000000">
      <w:pPr>
        <w:spacing w:after="40"/>
        <w:rPr>
          <w:rFonts w:ascii="Calibri" w:hAnsi="Calibri" w:cs="Calibri"/>
        </w:rPr>
      </w:pPr>
      <w:r w:rsidRPr="00D659EC">
        <w:rPr>
          <w:rFonts w:ascii="Calibri" w:eastAsia="Arial" w:hAnsi="Calibri" w:cs="Calibri"/>
          <w:b/>
          <w:bCs/>
          <w:color w:val="1F3864"/>
        </w:rPr>
        <w:t>Sensitivity Analysis — Implied Share Price ($)</w:t>
      </w:r>
    </w:p>
    <w:p w14:paraId="0821B08D" w14:textId="77777777" w:rsidR="009D0F57" w:rsidRPr="00D659EC" w:rsidRDefault="00000000">
      <w:pPr>
        <w:spacing w:after="40"/>
        <w:rPr>
          <w:rFonts w:ascii="Calibri" w:hAnsi="Calibri" w:cs="Calibri"/>
        </w:rPr>
      </w:pPr>
      <w:r w:rsidRPr="00D659EC">
        <w:rPr>
          <w:rFonts w:ascii="Calibri" w:eastAsia="Arial" w:hAnsi="Calibri" w:cs="Calibri"/>
          <w:i/>
          <w:iCs/>
          <w:color w:val="1A1A1A"/>
          <w:sz w:val="18"/>
          <w:szCs w:val="18"/>
        </w:rPr>
        <w:t xml:space="preserve">Rows = Terminal Growth </w:t>
      </w:r>
      <w:proofErr w:type="gramStart"/>
      <w:r w:rsidRPr="00D659EC">
        <w:rPr>
          <w:rFonts w:ascii="Calibri" w:eastAsia="Arial" w:hAnsi="Calibri" w:cs="Calibri"/>
          <w:i/>
          <w:iCs/>
          <w:color w:val="1A1A1A"/>
          <w:sz w:val="18"/>
          <w:szCs w:val="18"/>
        </w:rPr>
        <w:t>Rate  |</w:t>
      </w:r>
      <w:proofErr w:type="gramEnd"/>
      <w:r w:rsidRPr="00D659EC">
        <w:rPr>
          <w:rFonts w:ascii="Calibri" w:eastAsia="Arial" w:hAnsi="Calibri" w:cs="Calibri"/>
          <w:i/>
          <w:iCs/>
          <w:color w:val="1A1A1A"/>
          <w:sz w:val="18"/>
          <w:szCs w:val="18"/>
        </w:rPr>
        <w:t xml:space="preserve">  Columns = WACC</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1740"/>
        <w:gridCol w:w="1740"/>
        <w:gridCol w:w="1740"/>
        <w:gridCol w:w="1740"/>
        <w:gridCol w:w="1740"/>
      </w:tblGrid>
      <w:tr w:rsidR="009D0F57" w:rsidRPr="00D659EC" w14:paraId="1856C535" w14:textId="77777777">
        <w:tblPrEx>
          <w:tblCellMar>
            <w:top w:w="0" w:type="dxa"/>
            <w:bottom w:w="0" w:type="dxa"/>
          </w:tblCellMar>
        </w:tblPrEx>
        <w:tc>
          <w:tcPr>
            <w:tcW w:w="1740" w:type="dxa"/>
            <w:shd w:val="clear" w:color="auto" w:fill="1F3864"/>
            <w:vAlign w:val="center"/>
          </w:tcPr>
          <w:p w14:paraId="0F7ED017"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g \ WACC</w:t>
            </w:r>
          </w:p>
        </w:tc>
        <w:tc>
          <w:tcPr>
            <w:tcW w:w="1740" w:type="dxa"/>
            <w:shd w:val="clear" w:color="auto" w:fill="1F3864"/>
            <w:vAlign w:val="center"/>
          </w:tcPr>
          <w:p w14:paraId="0F01C50C"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8.0%</w:t>
            </w:r>
          </w:p>
        </w:tc>
        <w:tc>
          <w:tcPr>
            <w:tcW w:w="1740" w:type="dxa"/>
            <w:shd w:val="clear" w:color="auto" w:fill="1F3864"/>
            <w:vAlign w:val="center"/>
          </w:tcPr>
          <w:p w14:paraId="51F103CC"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9.0%</w:t>
            </w:r>
          </w:p>
        </w:tc>
        <w:tc>
          <w:tcPr>
            <w:tcW w:w="1740" w:type="dxa"/>
            <w:shd w:val="clear" w:color="auto" w:fill="1F3864"/>
            <w:vAlign w:val="center"/>
          </w:tcPr>
          <w:p w14:paraId="262B89EB"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10.0%</w:t>
            </w:r>
          </w:p>
        </w:tc>
        <w:tc>
          <w:tcPr>
            <w:tcW w:w="1740" w:type="dxa"/>
            <w:shd w:val="clear" w:color="auto" w:fill="1F3864"/>
            <w:vAlign w:val="center"/>
          </w:tcPr>
          <w:p w14:paraId="6F56C9EB"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11.0%</w:t>
            </w:r>
          </w:p>
        </w:tc>
        <w:tc>
          <w:tcPr>
            <w:tcW w:w="1740" w:type="dxa"/>
            <w:shd w:val="clear" w:color="auto" w:fill="1F3864"/>
            <w:vAlign w:val="center"/>
          </w:tcPr>
          <w:p w14:paraId="6F8D3C7F" w14:textId="77777777" w:rsidR="009D0F57" w:rsidRPr="00D659EC" w:rsidRDefault="00000000">
            <w:pPr>
              <w:spacing w:before="40" w:after="40"/>
              <w:jc w:val="center"/>
              <w:rPr>
                <w:rFonts w:ascii="Calibri" w:hAnsi="Calibri" w:cs="Calibri"/>
              </w:rPr>
            </w:pPr>
            <w:r w:rsidRPr="00D659EC">
              <w:rPr>
                <w:rFonts w:ascii="Calibri" w:eastAsia="Arial" w:hAnsi="Calibri" w:cs="Calibri"/>
                <w:b/>
                <w:bCs/>
                <w:color w:val="FFFFFF"/>
                <w:sz w:val="18"/>
                <w:szCs w:val="18"/>
              </w:rPr>
              <w:t>12.0%</w:t>
            </w:r>
          </w:p>
        </w:tc>
      </w:tr>
      <w:tr w:rsidR="009D0F57" w:rsidRPr="00D659EC" w14:paraId="7FCCBF3A" w14:textId="77777777">
        <w:tblPrEx>
          <w:tblCellMar>
            <w:top w:w="0" w:type="dxa"/>
            <w:bottom w:w="0" w:type="dxa"/>
          </w:tblCellMar>
        </w:tblPrEx>
        <w:tc>
          <w:tcPr>
            <w:tcW w:w="1740" w:type="dxa"/>
            <w:shd w:val="clear" w:color="auto" w:fill="2E5090"/>
            <w:vAlign w:val="center"/>
          </w:tcPr>
          <w:p w14:paraId="53D8397A"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FFFFFF"/>
                <w:sz w:val="18"/>
                <w:szCs w:val="18"/>
              </w:rPr>
              <w:t>2.0%</w:t>
            </w:r>
          </w:p>
        </w:tc>
        <w:tc>
          <w:tcPr>
            <w:tcW w:w="1740" w:type="dxa"/>
            <w:shd w:val="clear" w:color="auto" w:fill="FCE4D6"/>
            <w:vAlign w:val="center"/>
          </w:tcPr>
          <w:p w14:paraId="2921D224"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$148</w:t>
            </w:r>
          </w:p>
        </w:tc>
        <w:tc>
          <w:tcPr>
            <w:tcW w:w="1740" w:type="dxa"/>
            <w:shd w:val="clear" w:color="auto" w:fill="FCE4D6"/>
            <w:vAlign w:val="center"/>
          </w:tcPr>
          <w:p w14:paraId="11877A3C"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$127</w:t>
            </w:r>
          </w:p>
        </w:tc>
        <w:tc>
          <w:tcPr>
            <w:tcW w:w="1740" w:type="dxa"/>
            <w:shd w:val="clear" w:color="auto" w:fill="FCE4D6"/>
            <w:vAlign w:val="center"/>
          </w:tcPr>
          <w:p w14:paraId="15690A65"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$112</w:t>
            </w:r>
          </w:p>
        </w:tc>
        <w:tc>
          <w:tcPr>
            <w:tcW w:w="1740" w:type="dxa"/>
            <w:shd w:val="clear" w:color="auto" w:fill="FFDCE0"/>
            <w:vAlign w:val="center"/>
          </w:tcPr>
          <w:p w14:paraId="79C079D0"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$99</w:t>
            </w:r>
          </w:p>
        </w:tc>
        <w:tc>
          <w:tcPr>
            <w:tcW w:w="1740" w:type="dxa"/>
            <w:shd w:val="clear" w:color="auto" w:fill="FFDCE0"/>
            <w:vAlign w:val="center"/>
          </w:tcPr>
          <w:p w14:paraId="680E1872"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$90</w:t>
            </w:r>
          </w:p>
        </w:tc>
      </w:tr>
      <w:tr w:rsidR="009D0F57" w:rsidRPr="00D659EC" w14:paraId="610FF380" w14:textId="77777777">
        <w:tblPrEx>
          <w:tblCellMar>
            <w:top w:w="0" w:type="dxa"/>
            <w:bottom w:w="0" w:type="dxa"/>
          </w:tblCellMar>
        </w:tblPrEx>
        <w:tc>
          <w:tcPr>
            <w:tcW w:w="1740" w:type="dxa"/>
            <w:shd w:val="clear" w:color="auto" w:fill="2E5090"/>
            <w:vAlign w:val="center"/>
          </w:tcPr>
          <w:p w14:paraId="6CD110E6"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FFFFFF"/>
                <w:sz w:val="18"/>
                <w:szCs w:val="18"/>
              </w:rPr>
              <w:t>2.5%</w:t>
            </w:r>
          </w:p>
        </w:tc>
        <w:tc>
          <w:tcPr>
            <w:tcW w:w="1740" w:type="dxa"/>
            <w:shd w:val="clear" w:color="auto" w:fill="FFF2CC"/>
            <w:vAlign w:val="center"/>
          </w:tcPr>
          <w:p w14:paraId="2B8238EC"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$160</w:t>
            </w:r>
          </w:p>
        </w:tc>
        <w:tc>
          <w:tcPr>
            <w:tcW w:w="1740" w:type="dxa"/>
            <w:shd w:val="clear" w:color="auto" w:fill="FCE4D6"/>
            <w:vAlign w:val="center"/>
          </w:tcPr>
          <w:p w14:paraId="3DCE88D5"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$136</w:t>
            </w:r>
          </w:p>
        </w:tc>
        <w:tc>
          <w:tcPr>
            <w:tcW w:w="1740" w:type="dxa"/>
            <w:shd w:val="clear" w:color="auto" w:fill="FCE4D6"/>
            <w:vAlign w:val="center"/>
          </w:tcPr>
          <w:p w14:paraId="376417B7"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$118</w:t>
            </w:r>
          </w:p>
        </w:tc>
        <w:tc>
          <w:tcPr>
            <w:tcW w:w="1740" w:type="dxa"/>
            <w:shd w:val="clear" w:color="auto" w:fill="FFDCE0"/>
            <w:vAlign w:val="center"/>
          </w:tcPr>
          <w:p w14:paraId="15EE9423"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$104</w:t>
            </w:r>
          </w:p>
        </w:tc>
        <w:tc>
          <w:tcPr>
            <w:tcW w:w="1740" w:type="dxa"/>
            <w:shd w:val="clear" w:color="auto" w:fill="FFDCE0"/>
            <w:vAlign w:val="center"/>
          </w:tcPr>
          <w:p w14:paraId="7CB5AF38"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$93</w:t>
            </w:r>
          </w:p>
        </w:tc>
      </w:tr>
      <w:tr w:rsidR="009D0F57" w:rsidRPr="00D659EC" w14:paraId="18B64667" w14:textId="77777777">
        <w:tblPrEx>
          <w:tblCellMar>
            <w:top w:w="0" w:type="dxa"/>
            <w:bottom w:w="0" w:type="dxa"/>
          </w:tblCellMar>
        </w:tblPrEx>
        <w:tc>
          <w:tcPr>
            <w:tcW w:w="1740" w:type="dxa"/>
            <w:shd w:val="clear" w:color="auto" w:fill="2E5090"/>
            <w:vAlign w:val="center"/>
          </w:tcPr>
          <w:p w14:paraId="3BFD4E97"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FFFFFF"/>
                <w:sz w:val="18"/>
                <w:szCs w:val="18"/>
              </w:rPr>
              <w:t>3.0%</w:t>
            </w:r>
          </w:p>
        </w:tc>
        <w:tc>
          <w:tcPr>
            <w:tcW w:w="1740" w:type="dxa"/>
            <w:shd w:val="clear" w:color="auto" w:fill="FFF2CC"/>
            <w:vAlign w:val="center"/>
          </w:tcPr>
          <w:p w14:paraId="7FBCCF91"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$174</w:t>
            </w:r>
          </w:p>
        </w:tc>
        <w:tc>
          <w:tcPr>
            <w:tcW w:w="1740" w:type="dxa"/>
            <w:shd w:val="clear" w:color="auto" w:fill="FCE4D6"/>
            <w:vAlign w:val="center"/>
          </w:tcPr>
          <w:p w14:paraId="0973F048"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$146</w:t>
            </w:r>
          </w:p>
        </w:tc>
        <w:tc>
          <w:tcPr>
            <w:tcW w:w="1740" w:type="dxa"/>
            <w:shd w:val="clear" w:color="auto" w:fill="FCE4D6"/>
            <w:vAlign w:val="center"/>
          </w:tcPr>
          <w:p w14:paraId="3FD59E59"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$125</w:t>
            </w:r>
          </w:p>
        </w:tc>
        <w:tc>
          <w:tcPr>
            <w:tcW w:w="1740" w:type="dxa"/>
            <w:shd w:val="clear" w:color="auto" w:fill="FCE4D6"/>
            <w:vAlign w:val="center"/>
          </w:tcPr>
          <w:p w14:paraId="01288BE9"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$110</w:t>
            </w:r>
          </w:p>
        </w:tc>
        <w:tc>
          <w:tcPr>
            <w:tcW w:w="1740" w:type="dxa"/>
            <w:shd w:val="clear" w:color="auto" w:fill="FFDCE0"/>
            <w:vAlign w:val="center"/>
          </w:tcPr>
          <w:p w14:paraId="0B8C1961"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$98</w:t>
            </w:r>
          </w:p>
        </w:tc>
      </w:tr>
      <w:tr w:rsidR="009D0F57" w:rsidRPr="00D659EC" w14:paraId="16F4BAD8" w14:textId="77777777">
        <w:tblPrEx>
          <w:tblCellMar>
            <w:top w:w="0" w:type="dxa"/>
            <w:bottom w:w="0" w:type="dxa"/>
          </w:tblCellMar>
        </w:tblPrEx>
        <w:tc>
          <w:tcPr>
            <w:tcW w:w="1740" w:type="dxa"/>
            <w:shd w:val="clear" w:color="auto" w:fill="2E5090"/>
            <w:vAlign w:val="center"/>
          </w:tcPr>
          <w:p w14:paraId="23B7AA2F"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FFFFFF"/>
                <w:sz w:val="18"/>
                <w:szCs w:val="18"/>
              </w:rPr>
              <w:t>3.5%</w:t>
            </w:r>
          </w:p>
        </w:tc>
        <w:tc>
          <w:tcPr>
            <w:tcW w:w="1740" w:type="dxa"/>
            <w:shd w:val="clear" w:color="auto" w:fill="FFF2CC"/>
            <w:vAlign w:val="center"/>
          </w:tcPr>
          <w:p w14:paraId="58089737"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$192</w:t>
            </w:r>
          </w:p>
        </w:tc>
        <w:tc>
          <w:tcPr>
            <w:tcW w:w="1740" w:type="dxa"/>
            <w:shd w:val="clear" w:color="auto" w:fill="FFF2CC"/>
            <w:vAlign w:val="center"/>
          </w:tcPr>
          <w:p w14:paraId="5C9DFBC6"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$157</w:t>
            </w:r>
          </w:p>
        </w:tc>
        <w:tc>
          <w:tcPr>
            <w:tcW w:w="1740" w:type="dxa"/>
            <w:shd w:val="clear" w:color="auto" w:fill="FCE4D6"/>
            <w:vAlign w:val="center"/>
          </w:tcPr>
          <w:p w14:paraId="33D0B48C"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$133</w:t>
            </w:r>
          </w:p>
        </w:tc>
        <w:tc>
          <w:tcPr>
            <w:tcW w:w="1740" w:type="dxa"/>
            <w:shd w:val="clear" w:color="auto" w:fill="FCE4D6"/>
            <w:vAlign w:val="center"/>
          </w:tcPr>
          <w:p w14:paraId="68AB1BA0"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$116</w:t>
            </w:r>
          </w:p>
        </w:tc>
        <w:tc>
          <w:tcPr>
            <w:tcW w:w="1740" w:type="dxa"/>
            <w:shd w:val="clear" w:color="auto" w:fill="FFDCE0"/>
            <w:vAlign w:val="center"/>
          </w:tcPr>
          <w:p w14:paraId="074FAEE2"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$102</w:t>
            </w:r>
          </w:p>
        </w:tc>
      </w:tr>
      <w:tr w:rsidR="009D0F57" w:rsidRPr="00D659EC" w14:paraId="6B32639E" w14:textId="77777777">
        <w:tblPrEx>
          <w:tblCellMar>
            <w:top w:w="0" w:type="dxa"/>
            <w:bottom w:w="0" w:type="dxa"/>
          </w:tblCellMar>
        </w:tblPrEx>
        <w:tc>
          <w:tcPr>
            <w:tcW w:w="1740" w:type="dxa"/>
            <w:shd w:val="clear" w:color="auto" w:fill="2E5090"/>
            <w:vAlign w:val="center"/>
          </w:tcPr>
          <w:p w14:paraId="45B0A06C" w14:textId="77777777" w:rsidR="009D0F57" w:rsidRPr="00D659EC" w:rsidRDefault="00000000">
            <w:pPr>
              <w:spacing w:before="30" w:after="30"/>
              <w:jc w:val="center"/>
              <w:rPr>
                <w:rFonts w:ascii="Calibri" w:hAnsi="Calibri" w:cs="Calibri"/>
              </w:rPr>
            </w:pPr>
            <w:r w:rsidRPr="00D659EC">
              <w:rPr>
                <w:rFonts w:ascii="Calibri" w:eastAsia="Arial" w:hAnsi="Calibri" w:cs="Calibri"/>
                <w:b/>
                <w:bCs/>
                <w:color w:val="FFFFFF"/>
                <w:sz w:val="18"/>
                <w:szCs w:val="18"/>
              </w:rPr>
              <w:t>4.0%</w:t>
            </w:r>
          </w:p>
        </w:tc>
        <w:tc>
          <w:tcPr>
            <w:tcW w:w="1740" w:type="dxa"/>
            <w:shd w:val="clear" w:color="auto" w:fill="E2EFDA"/>
            <w:vAlign w:val="center"/>
          </w:tcPr>
          <w:p w14:paraId="240732AB"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$214</w:t>
            </w:r>
          </w:p>
        </w:tc>
        <w:tc>
          <w:tcPr>
            <w:tcW w:w="1740" w:type="dxa"/>
            <w:shd w:val="clear" w:color="auto" w:fill="FFF2CC"/>
            <w:vAlign w:val="center"/>
          </w:tcPr>
          <w:p w14:paraId="432F7F05"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$171</w:t>
            </w:r>
          </w:p>
        </w:tc>
        <w:tc>
          <w:tcPr>
            <w:tcW w:w="1740" w:type="dxa"/>
            <w:shd w:val="clear" w:color="auto" w:fill="FCE4D6"/>
            <w:vAlign w:val="center"/>
          </w:tcPr>
          <w:p w14:paraId="1028C5CD"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$143</w:t>
            </w:r>
          </w:p>
        </w:tc>
        <w:tc>
          <w:tcPr>
            <w:tcW w:w="1740" w:type="dxa"/>
            <w:shd w:val="clear" w:color="auto" w:fill="FCE4D6"/>
            <w:vAlign w:val="center"/>
          </w:tcPr>
          <w:p w14:paraId="0738FAEE"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$123</w:t>
            </w:r>
          </w:p>
        </w:tc>
        <w:tc>
          <w:tcPr>
            <w:tcW w:w="1740" w:type="dxa"/>
            <w:shd w:val="clear" w:color="auto" w:fill="FFDCE0"/>
            <w:vAlign w:val="center"/>
          </w:tcPr>
          <w:p w14:paraId="2FFF2B71" w14:textId="77777777" w:rsidR="009D0F57" w:rsidRPr="00D659EC" w:rsidRDefault="00000000">
            <w:pPr>
              <w:spacing w:before="30" w:after="30"/>
              <w:jc w:val="center"/>
              <w:rPr>
                <w:rFonts w:ascii="Calibri" w:hAnsi="Calibri" w:cs="Calibri"/>
              </w:rPr>
            </w:pPr>
            <w:r w:rsidRPr="00D659EC">
              <w:rPr>
                <w:rFonts w:ascii="Calibri" w:eastAsia="Arial" w:hAnsi="Calibri" w:cs="Calibri"/>
                <w:color w:val="1A1A1A"/>
                <w:sz w:val="18"/>
                <w:szCs w:val="18"/>
              </w:rPr>
              <w:t>$108</w:t>
            </w:r>
          </w:p>
        </w:tc>
      </w:tr>
    </w:tbl>
    <w:p w14:paraId="07248EE0" w14:textId="77777777" w:rsidR="009D0F57" w:rsidRPr="00D659EC" w:rsidRDefault="009D0F57">
      <w:pPr>
        <w:rPr>
          <w:rFonts w:ascii="Calibri" w:hAnsi="Calibri" w:cs="Calibri"/>
        </w:rPr>
      </w:pPr>
    </w:p>
    <w:p w14:paraId="2089DF33" w14:textId="77777777" w:rsidR="009D0F57" w:rsidRPr="00D659EC" w:rsidRDefault="00000000">
      <w:pPr>
        <w:spacing w:after="120"/>
        <w:rPr>
          <w:rFonts w:ascii="Calibri" w:hAnsi="Calibri" w:cs="Calibri"/>
        </w:rPr>
      </w:pPr>
      <w:r w:rsidRPr="00D659EC">
        <w:rPr>
          <w:rFonts w:ascii="Calibri" w:eastAsia="Arial" w:hAnsi="Calibri" w:cs="Calibri"/>
          <w:b/>
          <w:bCs/>
          <w:color w:val="1A1A1A"/>
          <w:sz w:val="18"/>
          <w:szCs w:val="18"/>
        </w:rPr>
        <w:t xml:space="preserve">Color key: </w:t>
      </w:r>
      <w:r w:rsidRPr="00D659EC">
        <w:rPr>
          <w:rFonts w:ascii="Calibri" w:eastAsia="Arial" w:hAnsi="Calibri" w:cs="Calibri"/>
          <w:color w:val="375623"/>
          <w:sz w:val="18"/>
          <w:szCs w:val="18"/>
        </w:rPr>
        <w:t>Green (≥$200</w:t>
      </w:r>
      <w:proofErr w:type="gramStart"/>
      <w:r w:rsidRPr="00D659EC">
        <w:rPr>
          <w:rFonts w:ascii="Calibri" w:eastAsia="Arial" w:hAnsi="Calibri" w:cs="Calibri"/>
          <w:color w:val="375623"/>
          <w:sz w:val="18"/>
          <w:szCs w:val="18"/>
        </w:rPr>
        <w:t xml:space="preserve">)  </w:t>
      </w:r>
      <w:r w:rsidRPr="00D659EC">
        <w:rPr>
          <w:rFonts w:ascii="Calibri" w:eastAsia="Arial" w:hAnsi="Calibri" w:cs="Calibri"/>
          <w:color w:val="BF8F00"/>
          <w:sz w:val="18"/>
          <w:szCs w:val="18"/>
        </w:rPr>
        <w:t>Yellow</w:t>
      </w:r>
      <w:proofErr w:type="gramEnd"/>
      <w:r w:rsidRPr="00D659EC">
        <w:rPr>
          <w:rFonts w:ascii="Calibri" w:eastAsia="Arial" w:hAnsi="Calibri" w:cs="Calibri"/>
          <w:color w:val="BF8F00"/>
          <w:sz w:val="18"/>
          <w:szCs w:val="18"/>
        </w:rPr>
        <w:t xml:space="preserve"> ($150–$199</w:t>
      </w:r>
      <w:proofErr w:type="gramStart"/>
      <w:r w:rsidRPr="00D659EC">
        <w:rPr>
          <w:rFonts w:ascii="Calibri" w:eastAsia="Arial" w:hAnsi="Calibri" w:cs="Calibri"/>
          <w:color w:val="BF8F00"/>
          <w:sz w:val="18"/>
          <w:szCs w:val="18"/>
        </w:rPr>
        <w:t xml:space="preserve">)  </w:t>
      </w:r>
      <w:r w:rsidRPr="00D659EC">
        <w:rPr>
          <w:rFonts w:ascii="Calibri" w:eastAsia="Arial" w:hAnsi="Calibri" w:cs="Calibri"/>
          <w:color w:val="C55A11"/>
          <w:sz w:val="18"/>
          <w:szCs w:val="18"/>
        </w:rPr>
        <w:t>Orange</w:t>
      </w:r>
      <w:proofErr w:type="gramEnd"/>
      <w:r w:rsidRPr="00D659EC">
        <w:rPr>
          <w:rFonts w:ascii="Calibri" w:eastAsia="Arial" w:hAnsi="Calibri" w:cs="Calibri"/>
          <w:color w:val="C55A11"/>
          <w:sz w:val="18"/>
          <w:szCs w:val="18"/>
        </w:rPr>
        <w:t xml:space="preserve"> ($110–$149</w:t>
      </w:r>
      <w:proofErr w:type="gramStart"/>
      <w:r w:rsidRPr="00D659EC">
        <w:rPr>
          <w:rFonts w:ascii="Calibri" w:eastAsia="Arial" w:hAnsi="Calibri" w:cs="Calibri"/>
          <w:color w:val="C55A11"/>
          <w:sz w:val="18"/>
          <w:szCs w:val="18"/>
        </w:rPr>
        <w:t xml:space="preserve">)  </w:t>
      </w:r>
      <w:r w:rsidRPr="00D659EC">
        <w:rPr>
          <w:rFonts w:ascii="Calibri" w:eastAsia="Arial" w:hAnsi="Calibri" w:cs="Calibri"/>
          <w:color w:val="C00000"/>
          <w:sz w:val="18"/>
          <w:szCs w:val="18"/>
        </w:rPr>
        <w:t>Red</w:t>
      </w:r>
      <w:proofErr w:type="gramEnd"/>
      <w:r w:rsidRPr="00D659EC">
        <w:rPr>
          <w:rFonts w:ascii="Calibri" w:eastAsia="Arial" w:hAnsi="Calibri" w:cs="Calibri"/>
          <w:color w:val="C00000"/>
          <w:sz w:val="18"/>
          <w:szCs w:val="18"/>
        </w:rPr>
        <w:t xml:space="preserve"> (&lt;$110)</w:t>
      </w:r>
    </w:p>
    <w:p w14:paraId="6444675D" w14:textId="77777777" w:rsidR="009D0F57" w:rsidRPr="00D659EC" w:rsidRDefault="00000000">
      <w:pPr>
        <w:pBdr>
          <w:bottom w:val="single" w:sz="6" w:space="0" w:color="1F3864"/>
        </w:pBdr>
        <w:spacing w:before="200" w:after="80"/>
        <w:rPr>
          <w:rFonts w:ascii="Calibri" w:hAnsi="Calibri" w:cs="Calibri"/>
        </w:rPr>
      </w:pPr>
      <w:r w:rsidRPr="00D659EC">
        <w:rPr>
          <w:rFonts w:ascii="Calibri" w:eastAsia="Arial" w:hAnsi="Calibri" w:cs="Calibri"/>
          <w:b/>
          <w:bCs/>
          <w:color w:val="1F3864"/>
          <w:sz w:val="26"/>
          <w:szCs w:val="26"/>
        </w:rPr>
        <w:t>5.  Key Risks</w:t>
      </w:r>
    </w:p>
    <w:p w14:paraId="2F3E51B3"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Valuation risk: Stock is priced for execution on AI monetization, Vision Pro adoption, and India market penetration — all early-stage. Disappointment in any of these could compress the multiple.</w:t>
      </w:r>
    </w:p>
    <w:p w14:paraId="04D0FD9F"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iPhone concentration: ~74% of Products revenue still tied to iPhone (FY2025). A weak upgrade cycle or competitive pressure from Samsung/Chinese OEMs in emerging markets poses downside risk to top-line growth.</w:t>
      </w:r>
    </w:p>
    <w:p w14:paraId="609E7C13"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Regulatory / antitrust exposure: DOJ antitrust action targeting the App Store and potential changes to Google's $20B+ search default payment represent material earnings risks not reflected in the base case.</w:t>
      </w:r>
    </w:p>
    <w:p w14:paraId="3B0AD166" w14:textId="77777777" w:rsidR="009D0F57" w:rsidRPr="00D659EC" w:rsidRDefault="00000000">
      <w:pPr>
        <w:pStyle w:val="ListParagraph"/>
        <w:numPr>
          <w:ilvl w:val="0"/>
          <w:numId w:val="1"/>
        </w:numPr>
        <w:spacing w:before="30" w:after="30"/>
        <w:ind w:left="360"/>
        <w:rPr>
          <w:rFonts w:ascii="Calibri" w:hAnsi="Calibri" w:cs="Calibri"/>
        </w:rPr>
      </w:pPr>
      <w:r w:rsidRPr="00D659EC">
        <w:rPr>
          <w:rFonts w:ascii="Calibri" w:eastAsia="Arial" w:hAnsi="Calibri" w:cs="Calibri"/>
          <w:color w:val="1A1A1A"/>
          <w:sz w:val="19"/>
          <w:szCs w:val="19"/>
        </w:rPr>
        <w:t>FX headwinds: ~57% of revenue is international. A strong USD environment compresses reported revenue growth on a constant-currency basis.</w:t>
      </w:r>
    </w:p>
    <w:p w14:paraId="2910107F" w14:textId="77777777" w:rsidR="009D0F57" w:rsidRPr="00D659EC" w:rsidRDefault="009D0F57">
      <w:pPr>
        <w:rPr>
          <w:rFonts w:ascii="Calibri" w:hAnsi="Calibri" w:cs="Calibri"/>
        </w:rPr>
      </w:pPr>
    </w:p>
    <w:p w14:paraId="685594D4" w14:textId="77777777" w:rsidR="009D0F57" w:rsidRPr="00D659EC" w:rsidRDefault="00000000">
      <w:pPr>
        <w:pBdr>
          <w:bottom w:val="single" w:sz="6" w:space="0" w:color="1F3864"/>
        </w:pBdr>
        <w:spacing w:before="200" w:after="80"/>
        <w:rPr>
          <w:rFonts w:ascii="Calibri" w:hAnsi="Calibri" w:cs="Calibri"/>
        </w:rPr>
      </w:pPr>
      <w:r w:rsidRPr="00D659EC">
        <w:rPr>
          <w:rFonts w:ascii="Calibri" w:eastAsia="Arial" w:hAnsi="Calibri" w:cs="Calibri"/>
          <w:b/>
          <w:bCs/>
          <w:color w:val="1F3864"/>
          <w:sz w:val="26"/>
          <w:szCs w:val="26"/>
        </w:rPr>
        <w:t>6.  Recommendation</w:t>
      </w:r>
    </w:p>
    <w:tbl>
      <w:tblPr>
        <w:tblW w:w="10440" w:type="dxa"/>
        <w:tblCellMar>
          <w:left w:w="10" w:type="dxa"/>
          <w:right w:w="10" w:type="dxa"/>
        </w:tblCellMar>
        <w:tblLook w:val="04A0" w:firstRow="1" w:lastRow="0" w:firstColumn="1" w:lastColumn="0" w:noHBand="0" w:noVBand="1"/>
      </w:tblPr>
      <w:tblGrid>
        <w:gridCol w:w="10440"/>
      </w:tblGrid>
      <w:tr w:rsidR="009D0F57" w:rsidRPr="00D659EC" w14:paraId="62BEEF42" w14:textId="77777777">
        <w:tblPrEx>
          <w:tblCellMar>
            <w:top w:w="0" w:type="dxa"/>
            <w:bottom w:w="0" w:type="dxa"/>
          </w:tblCellMar>
        </w:tblPrEx>
        <w:tc>
          <w:tcPr>
            <w:tcW w:w="10440" w:type="dxa"/>
            <w:shd w:val="clear" w:color="auto" w:fill="C55A11"/>
          </w:tcPr>
          <w:p w14:paraId="363B67CD" w14:textId="77777777" w:rsidR="009D0F57" w:rsidRPr="00D659EC" w:rsidRDefault="00000000">
            <w:pPr>
              <w:spacing w:before="80" w:after="40"/>
              <w:jc w:val="center"/>
              <w:rPr>
                <w:rFonts w:ascii="Calibri" w:hAnsi="Calibri" w:cs="Calibri"/>
              </w:rPr>
            </w:pPr>
            <w:proofErr w:type="gramStart"/>
            <w:r w:rsidRPr="00D659EC">
              <w:rPr>
                <w:rFonts w:ascii="Calibri" w:eastAsia="Arial" w:hAnsi="Calibri" w:cs="Calibri"/>
                <w:b/>
                <w:bCs/>
                <w:color w:val="FFFFFF"/>
                <w:sz w:val="24"/>
                <w:szCs w:val="24"/>
              </w:rPr>
              <w:t>HOLD  —</w:t>
            </w:r>
            <w:proofErr w:type="gramEnd"/>
            <w:r w:rsidRPr="00D659EC">
              <w:rPr>
                <w:rFonts w:ascii="Calibri" w:eastAsia="Arial" w:hAnsi="Calibri" w:cs="Calibri"/>
                <w:b/>
                <w:bCs/>
                <w:color w:val="FFFFFF"/>
                <w:sz w:val="24"/>
                <w:szCs w:val="24"/>
              </w:rPr>
              <w:t xml:space="preserve">  Price Target: $</w:t>
            </w:r>
            <w:proofErr w:type="gramStart"/>
            <w:r w:rsidRPr="00D659EC">
              <w:rPr>
                <w:rFonts w:ascii="Calibri" w:eastAsia="Arial" w:hAnsi="Calibri" w:cs="Calibri"/>
                <w:b/>
                <w:bCs/>
                <w:color w:val="FFFFFF"/>
                <w:sz w:val="24"/>
                <w:szCs w:val="24"/>
              </w:rPr>
              <w:t>160  |</w:t>
            </w:r>
            <w:proofErr w:type="gramEnd"/>
            <w:r w:rsidRPr="00D659EC">
              <w:rPr>
                <w:rFonts w:ascii="Calibri" w:eastAsia="Arial" w:hAnsi="Calibri" w:cs="Calibri"/>
                <w:b/>
                <w:bCs/>
                <w:color w:val="FFFFFF"/>
                <w:sz w:val="24"/>
                <w:szCs w:val="24"/>
              </w:rPr>
              <w:t xml:space="preserve">  Current: $313.36</w:t>
            </w:r>
          </w:p>
          <w:p w14:paraId="2009F4B2" w14:textId="77777777" w:rsidR="009D0F57" w:rsidRPr="00D659EC" w:rsidRDefault="00000000">
            <w:pPr>
              <w:spacing w:after="20"/>
              <w:jc w:val="center"/>
              <w:rPr>
                <w:rFonts w:ascii="Calibri" w:hAnsi="Calibri" w:cs="Calibri"/>
              </w:rPr>
            </w:pPr>
            <w:r w:rsidRPr="00D659EC">
              <w:rPr>
                <w:rFonts w:ascii="Calibri" w:eastAsia="Arial" w:hAnsi="Calibri" w:cs="Calibri"/>
                <w:color w:val="FFFFFF"/>
                <w:sz w:val="19"/>
                <w:szCs w:val="19"/>
              </w:rPr>
              <w:t>Base-case DCF does not support the current valuation. However, Apple's durable competitive advantages,</w:t>
            </w:r>
          </w:p>
          <w:p w14:paraId="38FD269C" w14:textId="77777777" w:rsidR="009D0F57" w:rsidRPr="00D659EC" w:rsidRDefault="00000000">
            <w:pPr>
              <w:spacing w:after="80"/>
              <w:jc w:val="center"/>
              <w:rPr>
                <w:rFonts w:ascii="Calibri" w:hAnsi="Calibri" w:cs="Calibri"/>
              </w:rPr>
            </w:pPr>
            <w:r w:rsidRPr="00D659EC">
              <w:rPr>
                <w:rFonts w:ascii="Calibri" w:eastAsia="Arial" w:hAnsi="Calibri" w:cs="Calibri"/>
                <w:color w:val="FFFFFF"/>
                <w:sz w:val="19"/>
                <w:szCs w:val="19"/>
              </w:rPr>
              <w:t>unmatched capital return program, and Services growth optionality justify a HOLD rather than an outright SELL.</w:t>
            </w:r>
          </w:p>
        </w:tc>
      </w:tr>
    </w:tbl>
    <w:p w14:paraId="51EDA6D8" w14:textId="77777777" w:rsidR="009D0F57" w:rsidRPr="00D659EC" w:rsidRDefault="009D0F57">
      <w:pPr>
        <w:rPr>
          <w:rFonts w:ascii="Calibri" w:hAnsi="Calibri" w:cs="Calibri"/>
        </w:rPr>
      </w:pPr>
    </w:p>
    <w:p w14:paraId="25268D94" w14:textId="77777777" w:rsidR="009D0F57" w:rsidRPr="00D659EC" w:rsidRDefault="00000000">
      <w:pPr>
        <w:spacing w:after="120"/>
        <w:rPr>
          <w:rFonts w:ascii="Calibri" w:hAnsi="Calibri" w:cs="Calibri"/>
        </w:rPr>
      </w:pPr>
      <w:r w:rsidRPr="00D659EC">
        <w:rPr>
          <w:rFonts w:ascii="Calibri" w:eastAsia="Arial" w:hAnsi="Calibri" w:cs="Calibri"/>
          <w:color w:val="1A1A1A"/>
        </w:rPr>
        <w:t>A re-rating to BUY would require: (1) evidence of meaningful AI revenue monetization, (2) stock price correction toward $150–$180 range, or (3) Services revenue accelerating above 15% YoY sustained over 2+ quarters.</w:t>
      </w:r>
    </w:p>
    <w:p w14:paraId="531229D3" w14:textId="77777777" w:rsidR="009D0F57" w:rsidRPr="00D659EC" w:rsidRDefault="009D0F57">
      <w:pPr>
        <w:pBdr>
          <w:bottom w:val="single" w:sz="4" w:space="0" w:color="CCCCCC"/>
        </w:pBdr>
        <w:spacing w:before="60" w:after="60"/>
        <w:rPr>
          <w:rFonts w:ascii="Calibri" w:hAnsi="Calibri" w:cs="Calibri"/>
        </w:rPr>
      </w:pPr>
    </w:p>
    <w:p w14:paraId="7ADB734B" w14:textId="77777777" w:rsidR="009D0F57" w:rsidRPr="00D659EC" w:rsidRDefault="00000000">
      <w:pPr>
        <w:spacing w:after="80"/>
        <w:jc w:val="center"/>
        <w:rPr>
          <w:rFonts w:ascii="Calibri" w:hAnsi="Calibri" w:cs="Calibri"/>
        </w:rPr>
      </w:pPr>
      <w:r w:rsidRPr="00D659EC">
        <w:rPr>
          <w:rFonts w:ascii="Calibri" w:eastAsia="Arial" w:hAnsi="Calibri" w:cs="Calibri"/>
          <w:color w:val="595959"/>
          <w:sz w:val="16"/>
          <w:szCs w:val="16"/>
        </w:rPr>
        <w:t xml:space="preserve">Prepared by: Talal Ahmed </w:t>
      </w:r>
      <w:proofErr w:type="gramStart"/>
      <w:r w:rsidRPr="00D659EC">
        <w:rPr>
          <w:rFonts w:ascii="Calibri" w:eastAsia="Arial" w:hAnsi="Calibri" w:cs="Calibri"/>
          <w:color w:val="595959"/>
          <w:sz w:val="16"/>
          <w:szCs w:val="16"/>
        </w:rPr>
        <w:t>Butt  |</w:t>
      </w:r>
      <w:proofErr w:type="gramEnd"/>
      <w:r w:rsidRPr="00D659EC">
        <w:rPr>
          <w:rFonts w:ascii="Calibri" w:eastAsia="Arial" w:hAnsi="Calibri" w:cs="Calibri"/>
          <w:color w:val="595959"/>
          <w:sz w:val="16"/>
          <w:szCs w:val="16"/>
        </w:rPr>
        <w:t xml:space="preserve">  UMass Amherst, Isenberg School of </w:t>
      </w:r>
      <w:proofErr w:type="gramStart"/>
      <w:r w:rsidRPr="00D659EC">
        <w:rPr>
          <w:rFonts w:ascii="Calibri" w:eastAsia="Arial" w:hAnsi="Calibri" w:cs="Calibri"/>
          <w:color w:val="595959"/>
          <w:sz w:val="16"/>
          <w:szCs w:val="16"/>
        </w:rPr>
        <w:t>Management  |</w:t>
      </w:r>
      <w:proofErr w:type="gramEnd"/>
      <w:r w:rsidRPr="00D659EC">
        <w:rPr>
          <w:rFonts w:ascii="Calibri" w:eastAsia="Arial" w:hAnsi="Calibri" w:cs="Calibri"/>
          <w:color w:val="595959"/>
          <w:sz w:val="16"/>
          <w:szCs w:val="16"/>
        </w:rPr>
        <w:t xml:space="preserve">  July 2026</w:t>
      </w:r>
    </w:p>
    <w:p w14:paraId="4FE2F6D0" w14:textId="77777777" w:rsidR="009D0F57" w:rsidRPr="00D659EC" w:rsidRDefault="00000000">
      <w:pPr>
        <w:spacing w:after="80"/>
        <w:jc w:val="center"/>
        <w:rPr>
          <w:rFonts w:ascii="Calibri" w:hAnsi="Calibri" w:cs="Calibri"/>
        </w:rPr>
      </w:pPr>
      <w:r w:rsidRPr="00D659EC">
        <w:rPr>
          <w:rFonts w:ascii="Calibri" w:eastAsia="Arial" w:hAnsi="Calibri" w:cs="Calibri"/>
          <w:i/>
          <w:iCs/>
          <w:color w:val="595959"/>
          <w:sz w:val="16"/>
          <w:szCs w:val="16"/>
        </w:rPr>
        <w:t>This memo is for educational purposes only and does not constitute investment advice.</w:t>
      </w:r>
    </w:p>
    <w:sectPr w:rsidR="009D0F57" w:rsidRPr="00D659EC">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0528C3"/>
    <w:multiLevelType w:val="hybridMultilevel"/>
    <w:tmpl w:val="EB607610"/>
    <w:lvl w:ilvl="0" w:tplc="D44E7004">
      <w:start w:val="1"/>
      <w:numFmt w:val="bullet"/>
      <w:lvlText w:val="●"/>
      <w:lvlJc w:val="left"/>
      <w:pPr>
        <w:ind w:left="720" w:hanging="360"/>
      </w:pPr>
    </w:lvl>
    <w:lvl w:ilvl="1" w:tplc="E682A730">
      <w:start w:val="1"/>
      <w:numFmt w:val="bullet"/>
      <w:lvlText w:val="○"/>
      <w:lvlJc w:val="left"/>
      <w:pPr>
        <w:ind w:left="1440" w:hanging="360"/>
      </w:pPr>
    </w:lvl>
    <w:lvl w:ilvl="2" w:tplc="7AE2A06A">
      <w:start w:val="1"/>
      <w:numFmt w:val="bullet"/>
      <w:lvlText w:val="■"/>
      <w:lvlJc w:val="left"/>
      <w:pPr>
        <w:ind w:left="2160" w:hanging="360"/>
      </w:pPr>
    </w:lvl>
    <w:lvl w:ilvl="3" w:tplc="7E68F3D0">
      <w:start w:val="1"/>
      <w:numFmt w:val="bullet"/>
      <w:lvlText w:val="●"/>
      <w:lvlJc w:val="left"/>
      <w:pPr>
        <w:ind w:left="2880" w:hanging="360"/>
      </w:pPr>
    </w:lvl>
    <w:lvl w:ilvl="4" w:tplc="FE66482C">
      <w:start w:val="1"/>
      <w:numFmt w:val="bullet"/>
      <w:lvlText w:val="○"/>
      <w:lvlJc w:val="left"/>
      <w:pPr>
        <w:ind w:left="3600" w:hanging="360"/>
      </w:pPr>
    </w:lvl>
    <w:lvl w:ilvl="5" w:tplc="49F487F6">
      <w:start w:val="1"/>
      <w:numFmt w:val="bullet"/>
      <w:lvlText w:val="■"/>
      <w:lvlJc w:val="left"/>
      <w:pPr>
        <w:ind w:left="4320" w:hanging="360"/>
      </w:pPr>
    </w:lvl>
    <w:lvl w:ilvl="6" w:tplc="7A685368">
      <w:start w:val="1"/>
      <w:numFmt w:val="bullet"/>
      <w:lvlText w:val="●"/>
      <w:lvlJc w:val="left"/>
      <w:pPr>
        <w:ind w:left="5040" w:hanging="360"/>
      </w:pPr>
    </w:lvl>
    <w:lvl w:ilvl="7" w:tplc="4ACA9470">
      <w:start w:val="1"/>
      <w:numFmt w:val="bullet"/>
      <w:lvlText w:val="●"/>
      <w:lvlJc w:val="left"/>
      <w:pPr>
        <w:ind w:left="5760" w:hanging="360"/>
      </w:pPr>
    </w:lvl>
    <w:lvl w:ilvl="8" w:tplc="341EE894">
      <w:start w:val="1"/>
      <w:numFmt w:val="bullet"/>
      <w:lvlText w:val="●"/>
      <w:lvlJc w:val="left"/>
      <w:pPr>
        <w:ind w:left="6480" w:hanging="360"/>
      </w:pPr>
    </w:lvl>
  </w:abstractNum>
  <w:num w:numId="1" w16cid:durableId="19590247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F57"/>
    <w:rsid w:val="009D0F57"/>
    <w:rsid w:val="00B12EA6"/>
    <w:rsid w:val="00D659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4868A2"/>
  <w15:docId w15:val="{E1B0401D-BF05-E24F-8A90-486A0C15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717</Words>
  <Characters>4093</Characters>
  <Application>Microsoft Office Word</Application>
  <DocSecurity>0</DocSecurity>
  <Lines>34</Lines>
  <Paragraphs>9</Paragraphs>
  <ScaleCrop>false</ScaleCrop>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Talal Ahmed Butt</cp:lastModifiedBy>
  <cp:revision>2</cp:revision>
  <dcterms:created xsi:type="dcterms:W3CDTF">2026-07-14T19:22:00Z</dcterms:created>
  <dcterms:modified xsi:type="dcterms:W3CDTF">2026-08-09T14:48:00Z</dcterms:modified>
</cp:coreProperties>
</file>