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2398" w14:textId="77777777" w:rsidR="003F151F" w:rsidRDefault="003F151F" w:rsidP="003F151F">
      <w:r>
        <w:t xml:space="preserve">**1. Executive Summary**  </w:t>
      </w:r>
    </w:p>
    <w:p w14:paraId="3A9B561C" w14:textId="77777777" w:rsidR="003F151F" w:rsidRDefault="003F151F" w:rsidP="003F151F">
      <w:r>
        <w:t xml:space="preserve">*(Approx. 330 </w:t>
      </w:r>
      <w:proofErr w:type="gramStart"/>
      <w:r>
        <w:t>words)*</w:t>
      </w:r>
      <w:proofErr w:type="gramEnd"/>
    </w:p>
    <w:p w14:paraId="74434C7B" w14:textId="77777777" w:rsidR="003F151F" w:rsidRDefault="003F151F" w:rsidP="003F151F"/>
    <w:p w14:paraId="54DA027E" w14:textId="77777777" w:rsidR="003F151F" w:rsidRDefault="003F151F" w:rsidP="003F151F">
      <w:r>
        <w:t>The present document outlines the development and anticipated performance of a 4.6 MWp ground-mounted solar photovoltaic (PV) installation located on approximately 13 acres of land near Faisalabad. The primary objective is to establish a reliable source of clean energy that aligns with industrial-scale consumption profiles, using an advanced bifacial panel configuration. A total of 7,956 PV modules, each rated at 580 W, is projected to deliver around 4.614 MW on the direct current (DC) side, while 13 high-efficiency inverters with a cumulative nominal power of 3.575 MW manage conversion to alternating current (AC). This DC/AC ratio of roughly 1.29 is designed to optimize generation without overloading system components.</w:t>
      </w:r>
    </w:p>
    <w:p w14:paraId="4A9E86B2" w14:textId="77777777" w:rsidR="003F151F" w:rsidRDefault="003F151F" w:rsidP="003F151F"/>
    <w:p w14:paraId="3EA23C39" w14:textId="77777777" w:rsidR="003F151F" w:rsidRDefault="003F151F" w:rsidP="003F151F">
      <w:r>
        <w:t xml:space="preserve">Extensive simulations performed in </w:t>
      </w:r>
      <w:proofErr w:type="spellStart"/>
      <w:r>
        <w:t>PVSyst</w:t>
      </w:r>
      <w:proofErr w:type="spellEnd"/>
      <w:r>
        <w:t xml:space="preserve">, using </w:t>
      </w:r>
      <w:proofErr w:type="spellStart"/>
      <w:r>
        <w:t>Meteonorm</w:t>
      </w:r>
      <w:proofErr w:type="spellEnd"/>
      <w:r>
        <w:t xml:space="preserve"> 8.1 data for the specific site coordinates (31.44 °N, 73.31 °E), indicate an annual production range of 6.38–6.42 GWh. The corresponding performance ratio of approximately 83–84 percent is attributable to multiple enhancements, such as reduced mismatch losses, strategic ground clearance for beneficial rear-side reflection in bifacial modules, and careful selection of protective devices in the electrical balance of system (BOS). Modeling also accounts for soiling, shading, and thermal derating factors, ensuring that the estimates comprehensively reflect real-world conditions.</w:t>
      </w:r>
    </w:p>
    <w:p w14:paraId="70ED1D36" w14:textId="77777777" w:rsidR="003F151F" w:rsidRDefault="003F151F" w:rsidP="003F151F"/>
    <w:p w14:paraId="53869DE5" w14:textId="77777777" w:rsidR="003F151F" w:rsidRDefault="003F151F" w:rsidP="003F151F">
      <w:r>
        <w:t>On the civil and structural front, steel piles are embedded to support the mounting frameworks at a tilt angle of 20 degrees, offering robust wind resistance and efficient orientation toward solar irradiance. The design also incorporates an Early Streamer Emission (ESE) lightning protection scheme, along with dedicated earthing pits and surge protection at strategic points. Such measures enhance operational safety and system durability.</w:t>
      </w:r>
    </w:p>
    <w:p w14:paraId="6E644F01" w14:textId="77777777" w:rsidR="003F151F" w:rsidRDefault="003F151F" w:rsidP="003F151F"/>
    <w:p w14:paraId="1937BA06" w14:textId="77777777" w:rsidR="003F151F" w:rsidRDefault="003F151F" w:rsidP="003F151F">
      <w:r>
        <w:t xml:space="preserve">In addition to fulfilling significant daytime load requirements, this venture aims to reinforce sustainability initiatives and reduce reliance on non-renewable energy sources. Upon completion, the system is expected to generate substantial environmental benefits by lowering carbon emissions.  </w:t>
      </w:r>
    </w:p>
    <w:p w14:paraId="09E837F3" w14:textId="77777777" w:rsidR="003F151F" w:rsidRDefault="003F151F" w:rsidP="003F151F">
      <w:r>
        <w:t>&lt;</w:t>
      </w:r>
      <w:proofErr w:type="spellStart"/>
      <w:r>
        <w:t>br</w:t>
      </w:r>
      <w:proofErr w:type="spellEnd"/>
      <w:r>
        <w:t>/&gt;</w:t>
      </w:r>
    </w:p>
    <w:p w14:paraId="44A2C2F6" w14:textId="77777777" w:rsidR="003F151F" w:rsidRDefault="003F151F" w:rsidP="003F151F">
      <w:r>
        <w:t xml:space="preserve">**[Placeholder: Project Overview Diagram or Aerial Rendering of the </w:t>
      </w:r>
      <w:proofErr w:type="gramStart"/>
      <w:r>
        <w:t>Site]*</w:t>
      </w:r>
      <w:proofErr w:type="gramEnd"/>
      <w:r>
        <w:t>*</w:t>
      </w:r>
      <w:r>
        <w:br/>
      </w:r>
      <w:r>
        <w:br/>
      </w:r>
      <w:r>
        <w:t xml:space="preserve">**2. Introduction**  </w:t>
      </w:r>
    </w:p>
    <w:p w14:paraId="331E2764" w14:textId="77777777" w:rsidR="003F151F" w:rsidRDefault="003F151F" w:rsidP="003F151F">
      <w:r>
        <w:t xml:space="preserve">*(Approx. 300 </w:t>
      </w:r>
      <w:proofErr w:type="gramStart"/>
      <w:r>
        <w:t>words)*</w:t>
      </w:r>
      <w:proofErr w:type="gramEnd"/>
    </w:p>
    <w:p w14:paraId="26DA00DF" w14:textId="77777777" w:rsidR="003F151F" w:rsidRDefault="003F151F" w:rsidP="003F151F"/>
    <w:p w14:paraId="146020D0" w14:textId="77777777" w:rsidR="003F151F" w:rsidRDefault="003F151F" w:rsidP="003F151F">
      <w:r>
        <w:t xml:space="preserve">The use of photovoltaic (PV) technology has steadily gained prominence across industrial sectors as it demonstrates tangible benefits in mitigating carbon emissions and stabilizing energy costs. Within </w:t>
      </w:r>
      <w:r>
        <w:lastRenderedPageBreak/>
        <w:t xml:space="preserve">regions such as Faisalabad, increasing daytime loads often coincide with peak solar availability, making the case for on-site solar generation particularly compelling. The 4.6 MWp ground-mounted system described in this document represents a significant step toward harnessing these advantages, especially given the high levels of solar irradiance recorded in Pakistan’s Punjab province. </w:t>
      </w:r>
    </w:p>
    <w:p w14:paraId="46D78F13" w14:textId="77777777" w:rsidR="003F151F" w:rsidRDefault="003F151F" w:rsidP="003F151F"/>
    <w:p w14:paraId="569898A1" w14:textId="77777777" w:rsidR="003F151F" w:rsidRDefault="003F151F" w:rsidP="003F151F">
      <w:r>
        <w:t>The installation, comprising over 7,900 bifacial modules and advanced string inverters, is designed to integrate seamlessly with the local electrical infrastructure. The project rationale emphasizes not only the immediate reduction in reliance on fossil-fuel-based sources but also broader operational and financial gains. By exploiting a moderate tilt angle (20 degrees) and two potential ground clearance options (0.6 m or 1.0 m), this approach seeks to optimize backside irradiation capture in bifacial panels while managing civil and structural costs effectively. The presence of dedicated AC and DC collector networks, supported by a robust set of combiners, isolators, and protective devices, is expected to ensure both reliability and compliance with prevailing grid standards.</w:t>
      </w:r>
    </w:p>
    <w:p w14:paraId="37243254" w14:textId="77777777" w:rsidR="003F151F" w:rsidRDefault="003F151F" w:rsidP="003F151F"/>
    <w:p w14:paraId="02AB9231" w14:textId="77777777" w:rsidR="003F151F" w:rsidRDefault="003F151F" w:rsidP="003F151F">
      <w:r>
        <w:t xml:space="preserve">In parallel, the design philosophy accommodates local environmental and climatic conditions. Soiling levels and ambient temperatures are addressed through routine maintenance protocols, whereas advanced surge arrestors and an Early Streamer Emission (ESE) scheme reduce exposure to lightning-induced failures. Thermal modeling in </w:t>
      </w:r>
      <w:proofErr w:type="spellStart"/>
      <w:r>
        <w:t>PVSyst</w:t>
      </w:r>
      <w:proofErr w:type="spellEnd"/>
      <w:r>
        <w:t xml:space="preserve">, incorporating real-world irradiance data from </w:t>
      </w:r>
      <w:proofErr w:type="spellStart"/>
      <w:r>
        <w:t>Meteonorm</w:t>
      </w:r>
      <w:proofErr w:type="spellEnd"/>
      <w:r>
        <w:t xml:space="preserve"> 8.1, further validates the system’s energy yield predictions. The subsequent sections provide a detailed account of site assessments, engineering methods, anticipated performance outcomes, and a structured timeline, forming a comprehensive blueprint for project execution and long-term operation.  </w:t>
      </w:r>
    </w:p>
    <w:p w14:paraId="0B1414D5" w14:textId="77777777" w:rsidR="003F151F" w:rsidRDefault="003F151F" w:rsidP="003F151F">
      <w:r>
        <w:t>&lt;</w:t>
      </w:r>
      <w:proofErr w:type="spellStart"/>
      <w:r>
        <w:t>br</w:t>
      </w:r>
      <w:proofErr w:type="spellEnd"/>
      <w:r>
        <w:t>/&gt;</w:t>
      </w:r>
    </w:p>
    <w:p w14:paraId="2160FAFE" w14:textId="0204D443" w:rsidR="00375CC3" w:rsidRDefault="003F151F" w:rsidP="003F151F">
      <w:r>
        <w:t xml:space="preserve">**[Placeholder: Regional Solar Map or Climatic Overview </w:t>
      </w:r>
      <w:proofErr w:type="gramStart"/>
      <w:r>
        <w:t>Illustration]*</w:t>
      </w:r>
      <w:proofErr w:type="gramEnd"/>
      <w:r>
        <w:t>*</w:t>
      </w:r>
    </w:p>
    <w:p w14:paraId="0E4FB0BC" w14:textId="223BDE17" w:rsidR="003F151F" w:rsidRDefault="003F151F" w:rsidP="003F151F"/>
    <w:p w14:paraId="5715C63E" w14:textId="77777777" w:rsidR="003F151F" w:rsidRDefault="003F151F" w:rsidP="003F151F">
      <w:r>
        <w:t xml:space="preserve">**3. Site and Project Scope**  </w:t>
      </w:r>
    </w:p>
    <w:p w14:paraId="79630ADE" w14:textId="77777777" w:rsidR="003F151F" w:rsidRDefault="003F151F" w:rsidP="003F151F">
      <w:r>
        <w:t xml:space="preserve">*(Approx. 330–385 </w:t>
      </w:r>
      <w:proofErr w:type="gramStart"/>
      <w:r>
        <w:t>words)*</w:t>
      </w:r>
      <w:proofErr w:type="gramEnd"/>
    </w:p>
    <w:p w14:paraId="67A4D863" w14:textId="77777777" w:rsidR="003F151F" w:rsidRDefault="003F151F" w:rsidP="003F151F"/>
    <w:p w14:paraId="3A0E43FA" w14:textId="77777777" w:rsidR="003F151F" w:rsidRDefault="003F151F" w:rsidP="003F151F">
      <w:r>
        <w:t xml:space="preserve">The project is situated in </w:t>
      </w:r>
      <w:proofErr w:type="spellStart"/>
      <w:r>
        <w:t>Khurrianwala</w:t>
      </w:r>
      <w:proofErr w:type="spellEnd"/>
      <w:r>
        <w:t>, Faisalabad (31.44 °N, 73.31 °E), encompassing nearly 13 acres of relatively flat terrain at an approximate altitude of 180 meters. Preliminary land surveys, as well as reviews of local topography, confirm minimal shading obstacles beyond isolated structures and existing irrigation channels. Such findings, validated through site visits and geotechnical studies, indicate that the land’s physical attributes are conducive to supporting ground-mounted piles and the associated solar arrays.</w:t>
      </w:r>
    </w:p>
    <w:p w14:paraId="5052AAE1" w14:textId="77777777" w:rsidR="003F151F" w:rsidRDefault="003F151F" w:rsidP="003F151F"/>
    <w:p w14:paraId="0E726A82" w14:textId="77777777" w:rsidR="003F151F" w:rsidRDefault="003F151F" w:rsidP="003F151F">
      <w:r>
        <w:t>In accordance with available engineering layouts (e.g., “</w:t>
      </w:r>
      <w:proofErr w:type="spellStart"/>
      <w:r>
        <w:t>InterLoop</w:t>
      </w:r>
      <w:proofErr w:type="spellEnd"/>
      <w:r>
        <w:t xml:space="preserve"> Final Module &amp; Piles Layout” and “PV Panel Layout -Interloop Ground Model”), the proposed arrangement targets an optimized spacing to reduce row-to-row shading. A total of 7,956 bifacial modules, each rated at 580 W, has been selected to </w:t>
      </w:r>
      <w:r>
        <w:lastRenderedPageBreak/>
        <w:t>achieve a nominal DC capacity of 4.614 MWp. These panels are organized into string-based blocks, connected via DC combiner panels and routed to 13 high-efficiency string inverters, collectively yielding 3.575 MW on the AC side. The DC/AC ratio of approximately 1.29 has been finalized to accommodate irradiance fluctuations, safeguard inverter longevity, and maintain a robust energy yield throughout the year.</w:t>
      </w:r>
    </w:p>
    <w:p w14:paraId="566CBEDD" w14:textId="77777777" w:rsidR="003F151F" w:rsidRDefault="003F151F" w:rsidP="003F151F"/>
    <w:p w14:paraId="24E3029F" w14:textId="77777777" w:rsidR="003F151F" w:rsidRDefault="003F151F" w:rsidP="003F151F">
      <w:r>
        <w:t>The pile design, derived from the structural details in documents such as “Interloop Limited_P1 Ground Section 600 Clearance _Rev00,” involves galvanized steel columns embedded in concrete footings. The tilt angle of 20 degrees is aligned with local irradiance patterns to capture maximum insolation for both front and rear sides of the bifacial panels. Ground clearance levels—either 0.6 meters or 1.0 meter—have been evaluated for their respective impacts on rear irradiance gain, ease of maintenance, and civil work considerations.</w:t>
      </w:r>
    </w:p>
    <w:p w14:paraId="33E85B8A" w14:textId="77777777" w:rsidR="003F151F" w:rsidRDefault="003F151F" w:rsidP="003F151F"/>
    <w:p w14:paraId="740C8570" w14:textId="77777777" w:rsidR="003F151F" w:rsidRDefault="003F151F" w:rsidP="003F151F">
      <w:r>
        <w:t xml:space="preserve">Support infrastructures, including an Early Streamer Emission (ESE) lightning protection network and multiple earthing pits, are outlined in relevant diagrams (“ESE Layout -Interloop Ground Model”). Additionally, the site layout accommodates perimeter fencing, security provisions, and accessibility routes for routine inspection and heavy equipment ingress. Cumulative findings suggest that the region’s meteorological profile and land features are well suited to the scale and complexity of the planned solar initiative.  </w:t>
      </w:r>
    </w:p>
    <w:p w14:paraId="1F67FE65" w14:textId="77777777" w:rsidR="003F151F" w:rsidRDefault="003F151F" w:rsidP="003F151F">
      <w:r>
        <w:t>&lt;</w:t>
      </w:r>
      <w:proofErr w:type="spellStart"/>
      <w:r>
        <w:t>br</w:t>
      </w:r>
      <w:proofErr w:type="spellEnd"/>
      <w:r>
        <w:t>/&gt;</w:t>
      </w:r>
    </w:p>
    <w:p w14:paraId="6DC3CEE7" w14:textId="5ED738B9" w:rsidR="003F151F" w:rsidRDefault="003F151F" w:rsidP="003F151F">
      <w:r>
        <w:t xml:space="preserve">**[Placeholder: Site Layout Diagram or Composite Aerial View Showing Module Rows and Pile </w:t>
      </w:r>
      <w:proofErr w:type="gramStart"/>
      <w:r>
        <w:t>Foundations]*</w:t>
      </w:r>
      <w:proofErr w:type="gramEnd"/>
      <w:r>
        <w:t>*</w:t>
      </w:r>
    </w:p>
    <w:p w14:paraId="01A7F70A" w14:textId="23BCE857" w:rsidR="003F151F" w:rsidRDefault="003F151F" w:rsidP="003F151F"/>
    <w:p w14:paraId="283DAACF" w14:textId="77777777" w:rsidR="003F151F" w:rsidRDefault="003F151F" w:rsidP="003F151F">
      <w:r>
        <w:t xml:space="preserve">**4. </w:t>
      </w:r>
      <w:proofErr w:type="spellStart"/>
      <w:r>
        <w:t>PVSyst</w:t>
      </w:r>
      <w:proofErr w:type="spellEnd"/>
      <w:r>
        <w:t xml:space="preserve"> Analysis and Requirements**  </w:t>
      </w:r>
    </w:p>
    <w:p w14:paraId="60CE804B" w14:textId="77777777" w:rsidR="003F151F" w:rsidRDefault="003F151F" w:rsidP="003F151F">
      <w:r>
        <w:t xml:space="preserve">*(Approx. 440–495 </w:t>
      </w:r>
      <w:proofErr w:type="gramStart"/>
      <w:r>
        <w:t>words)*</w:t>
      </w:r>
      <w:proofErr w:type="gramEnd"/>
    </w:p>
    <w:p w14:paraId="6D1CA6D1" w14:textId="77777777" w:rsidR="003F151F" w:rsidRDefault="003F151F" w:rsidP="003F151F"/>
    <w:p w14:paraId="7F389D81" w14:textId="77777777" w:rsidR="003F151F" w:rsidRDefault="003F151F" w:rsidP="003F151F">
      <w:r>
        <w:t xml:space="preserve">The energy modeling for the 4.6 MWp Interloop ground-mounted system has been carried out using </w:t>
      </w:r>
      <w:proofErr w:type="spellStart"/>
      <w:r>
        <w:t>PVSyst</w:t>
      </w:r>
      <w:proofErr w:type="spellEnd"/>
      <w:r>
        <w:t xml:space="preserve"> v7.4.8, referencing local meteorological inputs from </w:t>
      </w:r>
      <w:proofErr w:type="spellStart"/>
      <w:r>
        <w:t>Meteonorm</w:t>
      </w:r>
      <w:proofErr w:type="spellEnd"/>
      <w:r>
        <w:t xml:space="preserve"> 8.1 (1996–2015). Key parameters include an annual global horizontal irradiation of around 1,555 kWh/m², with the diffuse component estimated at 903 kWh/m². The system’s orientation is fixed at 20 degrees tilt and an azimuth of 0 degrees (true south), thus maximizing solar capture in this geographic context. A ground albedo of 0.20, soiling loss of 3 percent, and user-defined incidence angle modifiers (IAM) are likewise integrated into the simulation to reflect realistic field conditions. Two ground-clearance configurations—0.6 meters and 1.0 meter—were compared to quantify their respective impacts on rear-side irradiance gains for bifacial modules.</w:t>
      </w:r>
    </w:p>
    <w:p w14:paraId="39FF4830" w14:textId="77777777" w:rsidR="003F151F" w:rsidRDefault="003F151F" w:rsidP="003F151F"/>
    <w:p w14:paraId="118129B0" w14:textId="77777777" w:rsidR="003F151F" w:rsidRDefault="003F151F" w:rsidP="003F151F">
      <w:r>
        <w:lastRenderedPageBreak/>
        <w:t xml:space="preserve">According to the simulation data—documented in both “Simulation Report 4.6MWp Interloop (0.6 m Clearance) - 20240816” and “Simulation Report 4.6MWp Interloop (1m Clearance) - 20240816”—the predicted annual yield ranges from approximately 6.38 GWh to 6.42 GWh. The performance ratio hovers around 83–84 percent, illustrating relatively modest losses after accounting for mismatch, light-induced degradation (LID), thermal derating, and ohmic drops in both DC and AC cabling. Notably, the </w:t>
      </w:r>
      <w:proofErr w:type="gramStart"/>
      <w:r>
        <w:t>1.0 meter</w:t>
      </w:r>
      <w:proofErr w:type="gramEnd"/>
      <w:r>
        <w:t xml:space="preserve"> clearance option yields slightly higher energy, owing to enhanced rear-side reflection and marginally improved ventilation around the modules, although the associated cost and structural modifications may affect feasibility. In either scenario, monthly energy production peaks between April and August, attributable to elevated irradiance levels and moderate ambient temperatures, while winter months register comparatively lower yields yet remain consistent with theoretical expectations.</w:t>
      </w:r>
    </w:p>
    <w:p w14:paraId="23290D05" w14:textId="77777777" w:rsidR="003F151F" w:rsidRDefault="003F151F" w:rsidP="003F151F"/>
    <w:p w14:paraId="78E5489D" w14:textId="77777777" w:rsidR="003F151F" w:rsidRDefault="003F151F" w:rsidP="003F151F">
      <w:r>
        <w:t xml:space="preserve">Loss analysis, as shown by </w:t>
      </w:r>
      <w:proofErr w:type="spellStart"/>
      <w:r>
        <w:t>PVSyst’s</w:t>
      </w:r>
      <w:proofErr w:type="spellEnd"/>
      <w:r>
        <w:t xml:space="preserve"> “Loss Diagram,” indicates that thermal and electrical factors collectively constitute a significant portion of the overall system drop, exceeding 5 percent in many instances. Transformer and AC wiring losses, typically hovering near 2–2.5 percent, also factor prominently in the final energy output calculations. Soiling is modeled as a uniform 3 percent reduction, although site-specific variations can cause fluctuations if regular cleaning schedules are not maintained. The software’s near-shading approach—configured under “Fast Table, 100 percent electrical effect”—ensures that inter-row shading and partial irradiance blocking are captured with sufficient detail for string-level accuracy. Additionally, P50/P90 uncertainty analyses incorporate long-term weather variability of around 4.1 percent, thus furnishing operators and financiers with probabilistic energy estimates.</w:t>
      </w:r>
    </w:p>
    <w:p w14:paraId="0F1F9A09" w14:textId="77777777" w:rsidR="003F151F" w:rsidRDefault="003F151F" w:rsidP="003F151F"/>
    <w:p w14:paraId="4A650D6E" w14:textId="77777777" w:rsidR="003F151F" w:rsidRDefault="003F151F" w:rsidP="003F151F">
      <w:r>
        <w:t xml:space="preserve">Overall, the </w:t>
      </w:r>
      <w:proofErr w:type="spellStart"/>
      <w:r>
        <w:t>PVSyst</w:t>
      </w:r>
      <w:proofErr w:type="spellEnd"/>
      <w:r>
        <w:t xml:space="preserve"> results confirm that a DC/AC ratio of roughly 1.29 is appropriate for this location, allowing slight overloading under peak sunlight while ensuring a robust baseline for stable inverter operation. The following sections expand on how these simulation-driven assumptions guide equipment selection, installation planning, and operational strategies.  </w:t>
      </w:r>
    </w:p>
    <w:p w14:paraId="21C11DB6" w14:textId="77777777" w:rsidR="003F151F" w:rsidRDefault="003F151F" w:rsidP="003F151F">
      <w:r>
        <w:t>&lt;</w:t>
      </w:r>
      <w:proofErr w:type="spellStart"/>
      <w:r>
        <w:t>br</w:t>
      </w:r>
      <w:proofErr w:type="spellEnd"/>
      <w:r>
        <w:t>/&gt;</w:t>
      </w:r>
    </w:p>
    <w:p w14:paraId="212A23CE" w14:textId="0BFC2759" w:rsidR="003F151F" w:rsidRDefault="003F151F" w:rsidP="003F151F">
      <w:r>
        <w:t xml:space="preserve">**[Placeholder: </w:t>
      </w:r>
      <w:proofErr w:type="spellStart"/>
      <w:r>
        <w:t>PVSyst</w:t>
      </w:r>
      <w:proofErr w:type="spellEnd"/>
      <w:r>
        <w:t xml:space="preserve"> Monthly Yield Chart or Sample Loss Diagram </w:t>
      </w:r>
      <w:proofErr w:type="gramStart"/>
      <w:r>
        <w:t>Extract]*</w:t>
      </w:r>
      <w:proofErr w:type="gramEnd"/>
      <w:r>
        <w:t>*</w:t>
      </w:r>
    </w:p>
    <w:p w14:paraId="637E45F7" w14:textId="7E4EFD41" w:rsidR="003F151F" w:rsidRDefault="003F151F" w:rsidP="003F151F"/>
    <w:p w14:paraId="45706F66" w14:textId="77777777" w:rsidR="003F151F" w:rsidRDefault="003F151F" w:rsidP="003F151F">
      <w:r>
        <w:t xml:space="preserve">**5. Engineering Design and Layout**  </w:t>
      </w:r>
    </w:p>
    <w:p w14:paraId="056E6FE7" w14:textId="77777777" w:rsidR="003F151F" w:rsidRDefault="003F151F" w:rsidP="003F151F">
      <w:r>
        <w:t xml:space="preserve">*(Introduction to Section 5, leading into 5.1; total target ≈ 1,100–1,320 </w:t>
      </w:r>
      <w:proofErr w:type="gramStart"/>
      <w:r>
        <w:t>words)*</w:t>
      </w:r>
      <w:proofErr w:type="gramEnd"/>
    </w:p>
    <w:p w14:paraId="78C7AE35" w14:textId="77777777" w:rsidR="003F151F" w:rsidRDefault="003F151F" w:rsidP="003F151F"/>
    <w:p w14:paraId="1F73176D" w14:textId="77777777" w:rsidR="003F151F" w:rsidRDefault="003F151F" w:rsidP="003F151F">
      <w:r>
        <w:t>The engineering phase integrates mechanical, electrical, and protective elements to ensure that the proposed 4.6 MWp system achieves optimal generation while satisfying structural integrity and safety demands. Subsections below outline the core considerations, referencing specific schematic drawings such as the “</w:t>
      </w:r>
      <w:proofErr w:type="spellStart"/>
      <w:r>
        <w:t>InterLoop</w:t>
      </w:r>
      <w:proofErr w:type="spellEnd"/>
      <w:r>
        <w:t xml:space="preserve"> Final Module &amp; Piles Layout” for general arrangement, “AC/DC Cable Route Layout -Interloop Ground Model” for conduit planning, and “ESE Layout -Interloop Ground Model” for lightning protection mapping. Bill of Quantities (BOQ) details, found in “BOQ - IL Updated - 20240701,” </w:t>
      </w:r>
      <w:r>
        <w:lastRenderedPageBreak/>
        <w:t>highlight key material specifications, including galvanized steel structures and high-grade electrical conduits. Each aspect is engineered to align with site conditions (particularly soil bearing capacity) and functional requirements (e.g., ease of access for O&amp;M tasks).</w:t>
      </w:r>
    </w:p>
    <w:p w14:paraId="1D5660EE" w14:textId="77777777" w:rsidR="003F151F" w:rsidRDefault="003F151F" w:rsidP="003F151F"/>
    <w:p w14:paraId="15D14402" w14:textId="77777777" w:rsidR="003F151F" w:rsidRDefault="003F151F" w:rsidP="003F151F">
      <w:r>
        <w:t>&lt;</w:t>
      </w:r>
      <w:proofErr w:type="spellStart"/>
      <w:r>
        <w:t>br</w:t>
      </w:r>
      <w:proofErr w:type="spellEnd"/>
      <w:r>
        <w:t>/&gt;</w:t>
      </w:r>
    </w:p>
    <w:p w14:paraId="182AC763" w14:textId="77777777" w:rsidR="003F151F" w:rsidRDefault="003F151F" w:rsidP="003F151F"/>
    <w:p w14:paraId="3C2FDF75" w14:textId="77777777" w:rsidR="003F151F" w:rsidRDefault="003F151F" w:rsidP="003F151F">
      <w:r>
        <w:t xml:space="preserve">### 5.1 Mechanical Configuration  </w:t>
      </w:r>
    </w:p>
    <w:p w14:paraId="139C51B7" w14:textId="77777777" w:rsidR="003F151F" w:rsidRDefault="003F151F" w:rsidP="003F151F">
      <w:r>
        <w:t xml:space="preserve">*(Approx. 330 </w:t>
      </w:r>
      <w:proofErr w:type="gramStart"/>
      <w:r>
        <w:t>words)*</w:t>
      </w:r>
      <w:proofErr w:type="gramEnd"/>
    </w:p>
    <w:p w14:paraId="6EF79485" w14:textId="77777777" w:rsidR="003F151F" w:rsidRDefault="003F151F" w:rsidP="003F151F"/>
    <w:p w14:paraId="2B09B79E" w14:textId="77777777" w:rsidR="003F151F" w:rsidRDefault="003F151F" w:rsidP="003F151F">
      <w:r>
        <w:t>The mechanical design for the ground-mounted arrangement prioritizes structural stability, durability under site-specific wind loads, and maximized solar capture through a 20° tilt. Pile foundations, as specified in “Interloop Limited_P1 Ground Section 600 Clearance _Rev00” and “Interloop Limited_P1 Ground Section 1000 Clearance _Rev00,” consist of concrete columns typically 200 mm in diameter, anchored at depths determined by geotechnical assessments. These piles serve as the base for galvanized steel frames, featuring purlins and cross-bracing that maintain rigidity against wind and potential seismic activity. The mounting framework’s modular nature accelerates on-site assembly and allows straightforward alignment of module rows.</w:t>
      </w:r>
    </w:p>
    <w:p w14:paraId="2ED5E145" w14:textId="77777777" w:rsidR="003F151F" w:rsidRDefault="003F151F" w:rsidP="003F151F"/>
    <w:p w14:paraId="5E2FE8BC" w14:textId="77777777" w:rsidR="003F151F" w:rsidRDefault="003F151F" w:rsidP="003F151F">
      <w:r>
        <w:t>Bifacial modules, sized at 2,279×1,134 mm per panel, attach to the galvanized beams via aluminum clamps and stainless-steel fasteners (e.g., M8 for direct module fixation). The choice of M10 hot-dip galvanized hardware for frame-to-column connections enhances corrosion resistance, vital in regions prone to high humidity or industrial pollutants. Two ground-clearance options—approximately 0.6 m and 1.0 m at the lowest panel edge—have been considered to balance rear-side irradiance benefits against incremental material costs. A clearance of 1.0 m typically enables improved rear reflectivity, superior ventilation for thermal dissipation, and easier cleaning underneath modules, although it slightly increases steel consumption and installation complexity.</w:t>
      </w:r>
    </w:p>
    <w:p w14:paraId="6F0057E0" w14:textId="77777777" w:rsidR="003F151F" w:rsidRDefault="003F151F" w:rsidP="003F151F"/>
    <w:p w14:paraId="7B381592" w14:textId="77777777" w:rsidR="003F151F" w:rsidRDefault="003F151F" w:rsidP="003F151F">
      <w:r>
        <w:t xml:space="preserve">Additional mechanical elements include integrated cable trays or supports beneath the module rows for neatly organizing DC wiring, thus minimizing cable exposure and related losses. Module row spacing, as reflected in “PV Panel Layout -Interloop Ground Model,” remains consistent with shading analyses performed in </w:t>
      </w:r>
      <w:proofErr w:type="spellStart"/>
      <w:r>
        <w:t>PVSyst</w:t>
      </w:r>
      <w:proofErr w:type="spellEnd"/>
      <w:r>
        <w:t xml:space="preserve">. This arrangement maintains sufficient gaps to reduce inter-row overshadowing during early morning and late afternoon, while maximizing land usage efficiency. The detailed structural assembly procedure, including concrete curing periods and torque specifications for bolted connections, is outlined in the construction timeline, ensuring that the mechanical system underpins a robust and efficient solar field.  </w:t>
      </w:r>
    </w:p>
    <w:p w14:paraId="31A08324" w14:textId="77777777" w:rsidR="003F151F" w:rsidRDefault="003F151F" w:rsidP="003F151F">
      <w:r>
        <w:t>&lt;</w:t>
      </w:r>
      <w:proofErr w:type="spellStart"/>
      <w:r>
        <w:t>br</w:t>
      </w:r>
      <w:proofErr w:type="spellEnd"/>
      <w:r>
        <w:t>/&gt;</w:t>
      </w:r>
    </w:p>
    <w:p w14:paraId="37568F5D" w14:textId="5786398C" w:rsidR="003F151F" w:rsidRDefault="003F151F" w:rsidP="003F151F">
      <w:r>
        <w:lastRenderedPageBreak/>
        <w:t xml:space="preserve">**[Placeholder: Mechanical Section Cutaway Illustrating Piles, Tilt Angle, and Module Mounting </w:t>
      </w:r>
      <w:proofErr w:type="gramStart"/>
      <w:r>
        <w:t>Details]*</w:t>
      </w:r>
      <w:proofErr w:type="gramEnd"/>
      <w:r>
        <w:t>*</w:t>
      </w:r>
    </w:p>
    <w:p w14:paraId="535AA186" w14:textId="56F38093" w:rsidR="003F151F" w:rsidRDefault="003F151F" w:rsidP="003F151F"/>
    <w:p w14:paraId="3C55DB63" w14:textId="77777777" w:rsidR="003F151F" w:rsidRDefault="003F151F" w:rsidP="003F151F">
      <w:r>
        <w:t xml:space="preserve">### 5.2 Electrical Architecture  </w:t>
      </w:r>
    </w:p>
    <w:p w14:paraId="44CE4253" w14:textId="77777777" w:rsidR="003F151F" w:rsidRDefault="003F151F" w:rsidP="003F151F">
      <w:r>
        <w:t xml:space="preserve">*(Approx. 550 </w:t>
      </w:r>
      <w:proofErr w:type="gramStart"/>
      <w:r>
        <w:t>words)*</w:t>
      </w:r>
      <w:proofErr w:type="gramEnd"/>
    </w:p>
    <w:p w14:paraId="37D3506E" w14:textId="77777777" w:rsidR="003F151F" w:rsidRDefault="003F151F" w:rsidP="003F151F"/>
    <w:p w14:paraId="40C1637A" w14:textId="77777777" w:rsidR="003F151F" w:rsidRDefault="003F151F" w:rsidP="003F151F">
      <w:r>
        <w:t>The electrical design encompasses every element from the photovoltaic module terminals to the medium-voltage (MV) interface, ensuring efficient power collection and safe integration into the facility’s existing network. This arrangement is subdivided into three major subsystems—DC aggregation, inverter-based conversion, and AC collection/distribution—each with clearly defined components as depicted in the “DC Cable Route Layout,” “AC Cable Route Layout,” and “</w:t>
      </w:r>
      <w:proofErr w:type="spellStart"/>
      <w:r>
        <w:t>Inveter</w:t>
      </w:r>
      <w:proofErr w:type="spellEnd"/>
      <w:r>
        <w:t xml:space="preserve"> Placement Layout IL.”</w:t>
      </w:r>
    </w:p>
    <w:p w14:paraId="56121F27" w14:textId="77777777" w:rsidR="003F151F" w:rsidRDefault="003F151F" w:rsidP="003F151F"/>
    <w:p w14:paraId="10420139" w14:textId="77777777" w:rsidR="003F151F" w:rsidRDefault="003F151F" w:rsidP="003F151F">
      <w:r>
        <w:t xml:space="preserve">**DC Subsystem**  </w:t>
      </w:r>
    </w:p>
    <w:p w14:paraId="4F35AA51" w14:textId="77777777" w:rsidR="003F151F" w:rsidRDefault="003F151F" w:rsidP="003F151F">
      <w:r>
        <w:t>Strings of 26 modules each feed their respective DC Isolator Panels, which are housed in weatherproof enclosures and equipped with surge protection devices (SPD) rated for up to 1,200 V DC. According to the Bill of Quantities, 325 such isolators (ZJ Benny/</w:t>
      </w:r>
      <w:proofErr w:type="spellStart"/>
      <w:r>
        <w:t>Chint</w:t>
      </w:r>
      <w:proofErr w:type="spellEnd"/>
      <w:r>
        <w:t xml:space="preserve"> or equivalent) are distributed across the site, reflecting the total string count and redundancy requirements. The wiring strategy involves low-voltage, PV-grade cables (typically with double insulation) routed either in UV-resistant conduits or on dedicated cable trays below each mounting row. This approach mitigates mechanical stress, minimizes DC line losses, and supports straightforward maintenance activities. The total ohmic losses within the DC side are designed to stay near 1.5–2.5 percent at STC conditions—an acceptable range confirmed by </w:t>
      </w:r>
      <w:proofErr w:type="spellStart"/>
      <w:r>
        <w:t>PVSyst</w:t>
      </w:r>
      <w:proofErr w:type="spellEnd"/>
      <w:r>
        <w:t xml:space="preserve"> simulations.  </w:t>
      </w:r>
    </w:p>
    <w:p w14:paraId="58D3D19F" w14:textId="77777777" w:rsidR="003F151F" w:rsidRDefault="003F151F" w:rsidP="003F151F"/>
    <w:p w14:paraId="511DA5B0" w14:textId="77777777" w:rsidR="003F151F" w:rsidRDefault="003F151F" w:rsidP="003F151F">
      <w:r>
        <w:t xml:space="preserve">**Inverters**  </w:t>
      </w:r>
    </w:p>
    <w:p w14:paraId="796A4479" w14:textId="77777777" w:rsidR="003F151F" w:rsidRDefault="003F151F" w:rsidP="003F151F">
      <w:r>
        <w:t>Thirteen string inverters (Huawei SUN2000-330KTL, each rated at 275 kW) are responsible for converting DC power to AC at approximately 800 V. The consolidated AC rating for all inverters is 3.575 MW, which represents a DC-to-AC ratio near 1.29. Each inverter is equipped with integrated maximum power point tracking (MPPT) functionality, advanced diagnostic tools, and built-in protections to handle transients or grid fluctuations. The physical placement, as illustrated in “</w:t>
      </w:r>
      <w:proofErr w:type="spellStart"/>
      <w:r>
        <w:t>Inveter</w:t>
      </w:r>
      <w:proofErr w:type="spellEnd"/>
      <w:r>
        <w:t xml:space="preserve"> Placement Layout IL,” aims to limit voltage drops and reduce trenching lengths. Any AC power from each inverter is routed to an adjacent field distribution panel before proceeding to the main AC collector system.</w:t>
      </w:r>
    </w:p>
    <w:p w14:paraId="7CD1D99A" w14:textId="77777777" w:rsidR="003F151F" w:rsidRDefault="003F151F" w:rsidP="003F151F"/>
    <w:p w14:paraId="1995EEB2" w14:textId="77777777" w:rsidR="003F151F" w:rsidRDefault="003F151F" w:rsidP="003F151F">
      <w:r>
        <w:t xml:space="preserve">**AC Collector and Medium-Voltage Interface**  </w:t>
      </w:r>
    </w:p>
    <w:p w14:paraId="27F2DEFC" w14:textId="77777777" w:rsidR="003F151F" w:rsidRDefault="003F151F" w:rsidP="003F151F">
      <w:r>
        <w:t xml:space="preserve">On the AC side, each group of inverters interfaces with a Field AC Collector Panel that aggregates the power and monitors generation parameters. The main protection devices include air circuit breakers (ACBs) or motorized molded-case breakers (MCCBs), sized for each circuit’s current rating. The entire </w:t>
      </w:r>
      <w:r>
        <w:lastRenderedPageBreak/>
        <w:t>site’s output is ultimately stepped up from 0.8 kV to 11 kV through a 5,000 kVA transformer, as itemized in the BOQ. The transformer is typically configured with on-load tap changer (if applicable) or off-circuit taps to maintain stable secondary voltages under varying load/irradiance conditions. Following transformation, a medium-voltage switchgear section equipped with a 630 A vacuum circuit breaker (VCB) ensures seamless interconnection with the facility’s distribution system or the utility grid, in line with local grid codes.</w:t>
      </w:r>
    </w:p>
    <w:p w14:paraId="2B61257E" w14:textId="77777777" w:rsidR="003F151F" w:rsidRDefault="003F151F" w:rsidP="003F151F"/>
    <w:p w14:paraId="48E8123D" w14:textId="77777777" w:rsidR="003F151F" w:rsidRDefault="003F151F" w:rsidP="003F151F">
      <w:r>
        <w:t xml:space="preserve">**Cable Routing and Loss Management**  </w:t>
      </w:r>
    </w:p>
    <w:p w14:paraId="0A10823C" w14:textId="77777777" w:rsidR="003F151F" w:rsidRDefault="003F151F" w:rsidP="003F151F">
      <w:r>
        <w:t>Based on the “AC Cable Route Layout,” power lines running from inverter outputs toward the MV transformer are buried within protected trenches, with cable cross-sections carefully specified to limit voltage drop to an industry-standard 2–3 percent range. Additional earthing conductors (green/yellow-coded 6 mm² or 2.5 mm² for module grounding) run parallel to AC and DC circuits, connecting each structure segment to dedicated earthing pits for fault clearance and personnel safety.</w:t>
      </w:r>
    </w:p>
    <w:p w14:paraId="3660E3A1" w14:textId="77777777" w:rsidR="003F151F" w:rsidRDefault="003F151F" w:rsidP="003F151F"/>
    <w:p w14:paraId="3E097B4B" w14:textId="77777777" w:rsidR="003F151F" w:rsidRDefault="003F151F" w:rsidP="003F151F">
      <w:r>
        <w:t xml:space="preserve">Overall, this integrated electrical scheme balances performance, reliability, and maintainability. By systematically locating inverters, sizing cables, and integrating protective devices, the design satisfies both internal operational requirements and external regulatory standards, forming a robust framework for large-scale solar generation.  </w:t>
      </w:r>
    </w:p>
    <w:p w14:paraId="0CCBC3FE" w14:textId="77777777" w:rsidR="003F151F" w:rsidRDefault="003F151F" w:rsidP="003F151F">
      <w:r>
        <w:t>&lt;</w:t>
      </w:r>
      <w:proofErr w:type="spellStart"/>
      <w:r>
        <w:t>br</w:t>
      </w:r>
      <w:proofErr w:type="spellEnd"/>
      <w:r>
        <w:t>/&gt;</w:t>
      </w:r>
    </w:p>
    <w:p w14:paraId="56985AA6" w14:textId="3662764F" w:rsidR="003F151F" w:rsidRDefault="003F151F" w:rsidP="003F151F">
      <w:r>
        <w:t xml:space="preserve">**[Placeholder: Simplified Single-Line Diagram or Electrical Flowchart Depicting DC, Inverter, and AC </w:t>
      </w:r>
      <w:proofErr w:type="gramStart"/>
      <w:r>
        <w:t>Interfaces]*</w:t>
      </w:r>
      <w:proofErr w:type="gramEnd"/>
      <w:r>
        <w:t>*</w:t>
      </w:r>
    </w:p>
    <w:p w14:paraId="7A619667" w14:textId="0CD3E83B" w:rsidR="003F151F" w:rsidRDefault="003F151F" w:rsidP="003F151F"/>
    <w:p w14:paraId="3B0DBDA3" w14:textId="77777777" w:rsidR="003F151F" w:rsidRDefault="003F151F" w:rsidP="003F151F">
      <w:r>
        <w:t xml:space="preserve">### 5.3 Lightning and Earthing Systems  </w:t>
      </w:r>
    </w:p>
    <w:p w14:paraId="1930E7B9" w14:textId="77777777" w:rsidR="003F151F" w:rsidRDefault="003F151F" w:rsidP="003F151F">
      <w:r>
        <w:t xml:space="preserve">*(Approx. 220 </w:t>
      </w:r>
      <w:proofErr w:type="gramStart"/>
      <w:r>
        <w:t>words)*</w:t>
      </w:r>
      <w:proofErr w:type="gramEnd"/>
    </w:p>
    <w:p w14:paraId="0436512B" w14:textId="77777777" w:rsidR="003F151F" w:rsidRDefault="003F151F" w:rsidP="003F151F"/>
    <w:p w14:paraId="32D49180" w14:textId="77777777" w:rsidR="003F151F" w:rsidRDefault="003F151F" w:rsidP="003F151F">
      <w:r>
        <w:t xml:space="preserve">A robust lightning protection strategy has been devised to safeguard both personnel and equipment from transient </w:t>
      </w:r>
      <w:proofErr w:type="spellStart"/>
      <w:r>
        <w:t>overvoltages</w:t>
      </w:r>
      <w:proofErr w:type="spellEnd"/>
      <w:r>
        <w:t xml:space="preserve"> and direct lightning strikes. The “ESE Layout -Interloop Ground Model” presents the placement of Early Streamer Emission (ESE) terminals at strategic intervals around the perimeter and within the solar array zone. Each terminal is selected based on its nominal protection radius, ensuring that all PV tables, inverters, and ancillary electrical hardware remain within the defined protective envelope. The ESE air terminals are mounted on sufficiently tall masts and connected to grounding conductors designed for rapid discharge of lightning current to earth.</w:t>
      </w:r>
    </w:p>
    <w:p w14:paraId="1FDE9BCA" w14:textId="77777777" w:rsidR="003F151F" w:rsidRDefault="003F151F" w:rsidP="003F151F"/>
    <w:p w14:paraId="3A0B6861" w14:textId="77777777" w:rsidR="003F151F" w:rsidRDefault="003F151F" w:rsidP="003F151F">
      <w:r>
        <w:t xml:space="preserve">In parallel, the site-wide earthing scheme employs a network of earthing pits that interlink structural supports, electrical enclosures, and metallic conduits. According to the Bill of Quantities, at least 20 earthing pits have been planned, each featuring copper-bonded steel rods and low-resistance backfill (where needed) to achieve target ground resistance values. Conductors for earthing and bonding </w:t>
      </w:r>
      <w:r>
        <w:lastRenderedPageBreak/>
        <w:t xml:space="preserve">(6 mm² or 2.5 mm² green/yellow wires) extend to each module row and junction box, tying into the larger earthing grid through exothermic welds or compression lugs. Surge protection devices (SPDs) are likewise specified for DC and AC panels, limiting voltage spikes resulting from indirect </w:t>
      </w:r>
      <w:proofErr w:type="spellStart"/>
      <w:r>
        <w:t>lightning</w:t>
      </w:r>
      <w:proofErr w:type="spellEnd"/>
      <w:r>
        <w:t xml:space="preserve"> effects. This multi-layered approach, combining structural, electrical, and surge-protective measures, is intended to reduce downtime and maximize operational reliability.  </w:t>
      </w:r>
    </w:p>
    <w:p w14:paraId="62B01C77" w14:textId="77777777" w:rsidR="003F151F" w:rsidRDefault="003F151F" w:rsidP="003F151F">
      <w:r>
        <w:t>&lt;</w:t>
      </w:r>
      <w:proofErr w:type="spellStart"/>
      <w:r>
        <w:t>br</w:t>
      </w:r>
      <w:proofErr w:type="spellEnd"/>
      <w:r>
        <w:t>/&gt;</w:t>
      </w:r>
    </w:p>
    <w:p w14:paraId="1940E929" w14:textId="77777777" w:rsidR="003F151F" w:rsidRDefault="003F151F" w:rsidP="003F151F">
      <w:r>
        <w:t xml:space="preserve">**[Placeholder: Diagram Illustrating ESE Terminal Coverage and Earthing Pit </w:t>
      </w:r>
      <w:proofErr w:type="gramStart"/>
      <w:r>
        <w:t>Locations]*</w:t>
      </w:r>
      <w:proofErr w:type="gramEnd"/>
      <w:r>
        <w:t>*</w:t>
      </w:r>
    </w:p>
    <w:p w14:paraId="6A3D7AE5" w14:textId="77777777" w:rsidR="003F151F" w:rsidRDefault="003F151F" w:rsidP="003F151F"/>
    <w:p w14:paraId="53A09B73" w14:textId="77777777" w:rsidR="003F151F" w:rsidRDefault="003F151F" w:rsidP="003F151F">
      <w:r>
        <w:t>---</w:t>
      </w:r>
    </w:p>
    <w:p w14:paraId="53787912" w14:textId="77777777" w:rsidR="003F151F" w:rsidRDefault="003F151F" w:rsidP="003F151F"/>
    <w:p w14:paraId="4FC98FC4" w14:textId="77777777" w:rsidR="003F151F" w:rsidRDefault="003F151F" w:rsidP="003F151F">
      <w:r>
        <w:t xml:space="preserve">### 5.4 Monitoring and Control  </w:t>
      </w:r>
    </w:p>
    <w:p w14:paraId="029D1F15" w14:textId="77777777" w:rsidR="003F151F" w:rsidRDefault="003F151F" w:rsidP="003F151F">
      <w:r>
        <w:t xml:space="preserve">*(Approx. 220 </w:t>
      </w:r>
      <w:proofErr w:type="gramStart"/>
      <w:r>
        <w:t>words)*</w:t>
      </w:r>
      <w:proofErr w:type="gramEnd"/>
    </w:p>
    <w:p w14:paraId="60BE2A0A" w14:textId="77777777" w:rsidR="003F151F" w:rsidRDefault="003F151F" w:rsidP="003F151F"/>
    <w:p w14:paraId="7A5FB16D" w14:textId="77777777" w:rsidR="003F151F" w:rsidRDefault="003F151F" w:rsidP="003F151F">
      <w:r>
        <w:t>The monitoring and control framework centers on a data logging system capable of tracking real-time parameters such as DC voltage, AC power output, and critical environmental factors. A dedicated weather station—incorporating pyranometers to measure irradiance, along with ambient and module temperature sensors—is positioned near the array to correlate performance indices with actual site conditions. Communication links between field devices, inverters, and the main data server utilize RS485, Ethernet, or fiber-optic cables, as indicated in the BOQ. These resilient connections support swift data transfer and alarm reporting.</w:t>
      </w:r>
    </w:p>
    <w:p w14:paraId="442693BD" w14:textId="77777777" w:rsidR="003F151F" w:rsidRDefault="003F151F" w:rsidP="003F151F"/>
    <w:p w14:paraId="16FE9E4B" w14:textId="77777777" w:rsidR="003F151F" w:rsidRDefault="003F151F" w:rsidP="003F151F">
      <w:r>
        <w:t xml:space="preserve">Supervisory control and data acquisition (SCADA) functionalities or an equivalent PV-DG controller enable operators to visualize system outputs, review event logs, and manage inverter settings remotely. Various alarm thresholds—defined by voltage or frequency excursions—trigger automated alerts through mobile or web-based platforms, prompting timely intervention if abnormalities arise. In addition, some inverters come equipped with internal fault diagnostics to highlight component-level issues, streamlining troubleshooting processes. The same architecture can be leveraged to generate performance reports, track soiling rates, and evaluate the effectiveness of any operational adjustments. By combining reliable field instrumentation and centralized data analytics, the monitoring platform aims to sustain high availability, detect inefficiencies, and drive continuous improvement in overall energy generation.  </w:t>
      </w:r>
    </w:p>
    <w:p w14:paraId="410B548D" w14:textId="77777777" w:rsidR="003F151F" w:rsidRDefault="003F151F" w:rsidP="003F151F">
      <w:r>
        <w:t>&lt;</w:t>
      </w:r>
      <w:proofErr w:type="spellStart"/>
      <w:r>
        <w:t>br</w:t>
      </w:r>
      <w:proofErr w:type="spellEnd"/>
      <w:r>
        <w:t>/&gt;</w:t>
      </w:r>
    </w:p>
    <w:p w14:paraId="3880C7D2" w14:textId="23FFCB5E" w:rsidR="003F151F" w:rsidRDefault="003F151F" w:rsidP="003F151F">
      <w:r>
        <w:t xml:space="preserve">**[Placeholder: Block Diagram of SCADA/PV-DG System with Communication </w:t>
      </w:r>
      <w:proofErr w:type="gramStart"/>
      <w:r>
        <w:t>Paths]*</w:t>
      </w:r>
      <w:proofErr w:type="gramEnd"/>
      <w:r>
        <w:t>*</w:t>
      </w:r>
    </w:p>
    <w:p w14:paraId="2729901E" w14:textId="008AA6DE" w:rsidR="003F151F" w:rsidRDefault="003F151F" w:rsidP="003F151F"/>
    <w:p w14:paraId="78FB287C" w14:textId="77777777" w:rsidR="003F151F" w:rsidRDefault="003F151F" w:rsidP="003F151F">
      <w:r>
        <w:t xml:space="preserve">**6. Construction Timeline**  </w:t>
      </w:r>
    </w:p>
    <w:p w14:paraId="564D0E43" w14:textId="77777777" w:rsidR="003F151F" w:rsidRDefault="003F151F" w:rsidP="003F151F">
      <w:r>
        <w:lastRenderedPageBreak/>
        <w:t xml:space="preserve">*(Approx. 330–385 </w:t>
      </w:r>
      <w:proofErr w:type="gramStart"/>
      <w:r>
        <w:t>words)*</w:t>
      </w:r>
      <w:proofErr w:type="gramEnd"/>
    </w:p>
    <w:p w14:paraId="65290BDC" w14:textId="77777777" w:rsidR="003F151F" w:rsidRDefault="003F151F" w:rsidP="003F151F"/>
    <w:p w14:paraId="72B8E9DC" w14:textId="77777777" w:rsidR="003F151F" w:rsidRDefault="003F151F" w:rsidP="003F151F">
      <w:r>
        <w:t>Implementation of the 4.6 MWp Interloop project follows a structured schedule designed to align procurement, civil, and electrical milestones. As per the “Timeline-Interloop 4.6MW.pdf,” work commences in early September and concludes in early January, extending over roughly 120 days of organized activity. The sequence begins with detailed design finalization and approval, typically requiring five to eight days, followed by concurrent procurement efforts for cable trays, steel piles, and electrical Balance of System (BOS) components.</w:t>
      </w:r>
    </w:p>
    <w:p w14:paraId="3AF08F30" w14:textId="77777777" w:rsidR="003F151F" w:rsidRDefault="003F151F" w:rsidP="003F151F"/>
    <w:p w14:paraId="39B1FE6D" w14:textId="77777777" w:rsidR="003F151F" w:rsidRDefault="003F151F" w:rsidP="003F151F">
      <w:r>
        <w:t>Procurement spans an estimated 25 days to secure long lead-time materials—such as galvanized structural elements, DC and AC cables, and protective enclosures. Subsequent logistics tasks, including factory acceptance tests (FAT) and delivery coordination, extend across nearly 87 days to account for staggered shipments. This phased approach allows partial deliveries to synchronize with on-site activities, especially the civil works.</w:t>
      </w:r>
    </w:p>
    <w:p w14:paraId="7C7A7B34" w14:textId="77777777" w:rsidR="003F151F" w:rsidRDefault="003F151F" w:rsidP="003F151F"/>
    <w:p w14:paraId="01D57168" w14:textId="77777777" w:rsidR="003F151F" w:rsidRDefault="003F151F" w:rsidP="003F151F">
      <w:r>
        <w:t>Civil construction proceeds for approximately 113 days, incorporating site layout, excavation for pile footing, concrete works, and the erection of mounting structures. According to the referenced timeline, pile excavation and concrete pouring occupy nearly half of this duration, emphasizing the importance of methodical placement and curing protocols. Once structural supports are fully set, module mounting commences, typically in parallel with other finishing tasks, such as installing inverters under protective canopies.</w:t>
      </w:r>
    </w:p>
    <w:p w14:paraId="746C4B77" w14:textId="77777777" w:rsidR="003F151F" w:rsidRDefault="003F151F" w:rsidP="003F151F"/>
    <w:p w14:paraId="79980645" w14:textId="77777777" w:rsidR="003F151F" w:rsidRDefault="003F151F" w:rsidP="003F151F">
      <w:r>
        <w:t>Electrical construction encompasses about 61 days, overlapping the final stages of civil work. Primary tasks include AC and DC cable tray deployment, earthing pit drilling, and systematic cable pulling. Each inverter is then integrated with its respective AC collector panel, ensuring that testing can commence by early January. Site acceptance tests—covering insulation, continuity, and performance checks—span roughly two days, culminating in official commissioning and grid synchronization.</w:t>
      </w:r>
    </w:p>
    <w:p w14:paraId="58358784" w14:textId="77777777" w:rsidR="003F151F" w:rsidRDefault="003F151F" w:rsidP="003F151F"/>
    <w:p w14:paraId="189CB5F0" w14:textId="77777777" w:rsidR="003F151F" w:rsidRDefault="003F151F" w:rsidP="003F151F">
      <w:r>
        <w:t xml:space="preserve">Throughout these steps, a critical path emerges around the availability of structural materials and the tempo of pile construction, warranting vigilant resource allocation. Adhering to the schedule reduces downtime between work packages and facilitates orderly ramp-up for subsequent phases.  </w:t>
      </w:r>
    </w:p>
    <w:p w14:paraId="4EFC69A4" w14:textId="77777777" w:rsidR="003F151F" w:rsidRDefault="003F151F" w:rsidP="003F151F">
      <w:r>
        <w:t>&lt;</w:t>
      </w:r>
      <w:proofErr w:type="spellStart"/>
      <w:r>
        <w:t>br</w:t>
      </w:r>
      <w:proofErr w:type="spellEnd"/>
      <w:r>
        <w:t>/&gt;</w:t>
      </w:r>
    </w:p>
    <w:p w14:paraId="62304F90" w14:textId="17EDDD09" w:rsidR="003F151F" w:rsidRDefault="003F151F" w:rsidP="003F151F">
      <w:r>
        <w:t xml:space="preserve">**[Placeholder: Gantt Chart Excerpt or Timeline Summary Highlighting Major </w:t>
      </w:r>
      <w:proofErr w:type="gramStart"/>
      <w:r>
        <w:t>Milestones]*</w:t>
      </w:r>
      <w:proofErr w:type="gramEnd"/>
      <w:r>
        <w:t>*</w:t>
      </w:r>
    </w:p>
    <w:p w14:paraId="1B456795" w14:textId="50A37347" w:rsidR="003F151F" w:rsidRDefault="003F151F" w:rsidP="003F151F"/>
    <w:p w14:paraId="6A62F718" w14:textId="77777777" w:rsidR="003F151F" w:rsidRDefault="003F151F" w:rsidP="003F151F">
      <w:r>
        <w:t xml:space="preserve">**7. Operations and Maintenance Strategy**  </w:t>
      </w:r>
    </w:p>
    <w:p w14:paraId="71AE4F6C" w14:textId="77777777" w:rsidR="003F151F" w:rsidRDefault="003F151F" w:rsidP="003F151F">
      <w:r>
        <w:t xml:space="preserve">*(Approx. 330 </w:t>
      </w:r>
      <w:proofErr w:type="gramStart"/>
      <w:r>
        <w:t>words)*</w:t>
      </w:r>
      <w:proofErr w:type="gramEnd"/>
    </w:p>
    <w:p w14:paraId="4729DE2A" w14:textId="77777777" w:rsidR="003F151F" w:rsidRDefault="003F151F" w:rsidP="003F151F"/>
    <w:p w14:paraId="2C3CDBE2" w14:textId="77777777" w:rsidR="003F151F" w:rsidRDefault="003F151F" w:rsidP="003F151F">
      <w:r>
        <w:t xml:space="preserve">Ensuring long-term performance and reliability of the 4.6 MWp ground-mounted system requires a well-defined operations and maintenance (O&amp;M) plan. Preventive upkeep underpins this strategy, centering on periodic module cleaning, mechanical inspections, and electrical integrity checks. The bifacial panels, exposed to both front and rear irradiation, may accumulate dust or other contaminants that impact energy production. Hence, site-specific cleaning schedules—weekly in high-soiling seasons and monthly or bi-monthly at other times—are recommended to sustain output levels near the </w:t>
      </w:r>
      <w:proofErr w:type="spellStart"/>
      <w:r>
        <w:t>PVSyst</w:t>
      </w:r>
      <w:proofErr w:type="spellEnd"/>
      <w:r>
        <w:t>-estimated yields.</w:t>
      </w:r>
    </w:p>
    <w:p w14:paraId="35CC32C9" w14:textId="77777777" w:rsidR="003F151F" w:rsidRDefault="003F151F" w:rsidP="003F151F"/>
    <w:p w14:paraId="75C52002" w14:textId="77777777" w:rsidR="003F151F" w:rsidRDefault="003F151F" w:rsidP="003F151F">
      <w:r>
        <w:t>Routine inspections focus on identifying early signs of degradation, corrosion, or mechanical stress in the galvanized steel frames. Bolted connections, particularly at high-stress points like column-to-purlin junctions, require torque verifications. Electrical inspections include measuring insulation resistance, testing earthing continuity, and conducting infrared thermographic scans on junction boxes, combiner panels, and inverters. This approach helps pinpoint hot spots arising from loose lugs, deteriorated connectors, or internal component failures before they escalate.</w:t>
      </w:r>
    </w:p>
    <w:p w14:paraId="2669E883" w14:textId="77777777" w:rsidR="003F151F" w:rsidRDefault="003F151F" w:rsidP="003F151F"/>
    <w:p w14:paraId="48099FC3" w14:textId="77777777" w:rsidR="003F151F" w:rsidRDefault="003F151F" w:rsidP="003F151F">
      <w:r>
        <w:t>Failure response protocols outline procedures for isolating faulted strings through string-level switchgear and contacting inverter support services. The recommended inventory of spare parts includes DC fuses, SPD modules, bypass diodes, and a limited supply of replacement panels. Manufacturers’ warranties—spanning modules (performance warranty) and inverters—provide an additional layer of protection. The system’s supervisory control and data acquisition (SCADA) platform feeds real-time information to onsite or remote operators, enabling swift reaction to unexpected downtime or environmental events.</w:t>
      </w:r>
    </w:p>
    <w:p w14:paraId="3442E231" w14:textId="77777777" w:rsidR="003F151F" w:rsidRDefault="003F151F" w:rsidP="003F151F"/>
    <w:p w14:paraId="04EC504A" w14:textId="77777777" w:rsidR="003F151F" w:rsidRDefault="003F151F" w:rsidP="003F151F">
      <w:r>
        <w:t xml:space="preserve">Health and safety measures accompany every aspect of O&amp;M, emphasizing the use of personal protective equipment (PPE), lockout-tagout practices, and compliance with electrical safety protocols. Emergency procedures, such as cutting off high-voltage supplies under hazardous conditions, are clearly demarcated in site instructions. This multi-layered strategy, integrating preventive care, systematic inspections, swift troubleshooting, and robust safety standards, aims to prolong system life while preserving high operational availability.  </w:t>
      </w:r>
    </w:p>
    <w:p w14:paraId="78D0DC3B" w14:textId="77777777" w:rsidR="003F151F" w:rsidRDefault="003F151F" w:rsidP="003F151F">
      <w:r>
        <w:t>&lt;</w:t>
      </w:r>
      <w:proofErr w:type="spellStart"/>
      <w:r>
        <w:t>br</w:t>
      </w:r>
      <w:proofErr w:type="spellEnd"/>
      <w:r>
        <w:t>/&gt;</w:t>
      </w:r>
    </w:p>
    <w:p w14:paraId="298A54D1" w14:textId="2C5531E7" w:rsidR="003F151F" w:rsidRDefault="003F151F" w:rsidP="003F151F">
      <w:r>
        <w:t xml:space="preserve">**[Placeholder: Sample Maintenance Checklist or Illustrative Flowchart of O&amp;M </w:t>
      </w:r>
      <w:proofErr w:type="gramStart"/>
      <w:r>
        <w:t>Routines]*</w:t>
      </w:r>
      <w:proofErr w:type="gramEnd"/>
      <w:r>
        <w:t>*</w:t>
      </w:r>
    </w:p>
    <w:p w14:paraId="5B683EE9" w14:textId="4942623C" w:rsidR="003F151F" w:rsidRDefault="003F151F" w:rsidP="003F151F"/>
    <w:p w14:paraId="03A83CF1" w14:textId="77777777" w:rsidR="003F151F" w:rsidRDefault="003F151F" w:rsidP="003F151F">
      <w:r>
        <w:t xml:space="preserve">**8. Economic and Environmental Implications**  </w:t>
      </w:r>
    </w:p>
    <w:p w14:paraId="68369C6D" w14:textId="77777777" w:rsidR="003F151F" w:rsidRDefault="003F151F" w:rsidP="003F151F">
      <w:r>
        <w:t xml:space="preserve">*(Approx. 350–385 </w:t>
      </w:r>
      <w:proofErr w:type="gramStart"/>
      <w:r>
        <w:t>words)*</w:t>
      </w:r>
      <w:proofErr w:type="gramEnd"/>
    </w:p>
    <w:p w14:paraId="121BE841" w14:textId="77777777" w:rsidR="003F151F" w:rsidRDefault="003F151F" w:rsidP="003F151F"/>
    <w:p w14:paraId="53A9B33E" w14:textId="77777777" w:rsidR="003F151F" w:rsidRDefault="003F151F" w:rsidP="003F151F">
      <w:r>
        <w:lastRenderedPageBreak/>
        <w:t>The 4.6 MWp ground-mounted system at Interloop, by virtue of its scale and technology choice, carries notable economic and ecological impacts. Capital expenditure (CAPEX) commonly accounts for photovoltaic modules, mounting steelwork, inverters, AC/DC cabling, switchgear, and other ancillary electrical hardware. In particular, items such as bifacial panels and galvanized pile structures constitute a sizable share of the upfront cost, as indicated in the “BOQ - IL Updated - 20240701,” while the procurement of high-capacity transformers and medium-voltage switchgear adds to electrical-related investments. Because the project design leverages standardized components (e.g., modular string inverters and readily available BOS materials), economies of scale can be harnessed, thereby containing overall installation costs.</w:t>
      </w:r>
    </w:p>
    <w:p w14:paraId="304E431E" w14:textId="77777777" w:rsidR="003F151F" w:rsidRDefault="003F151F" w:rsidP="003F151F"/>
    <w:p w14:paraId="45719776" w14:textId="77777777" w:rsidR="003F151F" w:rsidRDefault="003F151F" w:rsidP="003F151F">
      <w:r>
        <w:t>Operational expenditure (OPEX) primarily revolves around scheduled cleaning, routine inspections, minor repairs, and the replacement of consumable components, such as surge protection cartridges or string fuses. The integration of a robust SCADA or similar monitoring platform allows continuous oversight with minimal staffing, reducing O&amp;M labor costs. By aligning cleaning intervals with seasonal soiling patterns, site operators may strike an optimum balance between water usage, labor efforts, and energy yield preservation. The net result is anticipated to foster relatively modest annual O&amp;M costs when measured as a percentage of the initial CAPEX.</w:t>
      </w:r>
    </w:p>
    <w:p w14:paraId="31CC613C" w14:textId="77777777" w:rsidR="003F151F" w:rsidRDefault="003F151F" w:rsidP="003F151F"/>
    <w:p w14:paraId="08BB0CB2" w14:textId="77777777" w:rsidR="003F151F" w:rsidRDefault="003F151F" w:rsidP="003F151F">
      <w:r>
        <w:t xml:space="preserve">On the revenue side, the estimated annual generation of 6.38–6.42 GWh (reflected in </w:t>
      </w:r>
      <w:proofErr w:type="spellStart"/>
      <w:r>
        <w:t>PVSyst</w:t>
      </w:r>
      <w:proofErr w:type="spellEnd"/>
      <w:r>
        <w:t xml:space="preserve"> simulations) can significantly lower reliance on grid-supplied or diesel-generated electricity. If connected under a net-metering arrangement, the solar output may yield credits that offset facility energy bills, expediting the project’s payback. Economic benefits are further amplified by each kilowatt-hour of clean electricity displacing conventional sources, thus contributing toward cost stability.</w:t>
      </w:r>
    </w:p>
    <w:p w14:paraId="0AE2D099" w14:textId="77777777" w:rsidR="003F151F" w:rsidRDefault="003F151F" w:rsidP="003F151F"/>
    <w:p w14:paraId="3A693F72" w14:textId="77777777" w:rsidR="003F151F" w:rsidRDefault="003F151F" w:rsidP="003F151F">
      <w:r>
        <w:t xml:space="preserve">From an environmental perspective, every megawatt-hour of electricity generated by the array avoids greenhouse gas emissions commonly associated with thermal power. Depending on the prevailing emission factors, annual CO₂ reductions could approach several thousand metric tons. This aligns with overarching corporate sustainability objectives and local or international frameworks aimed at curbing carbon footprints. As such, the solar farm not only offers tangible economic returns but also underscores a commitment to responsible environmental stewardship.  </w:t>
      </w:r>
    </w:p>
    <w:p w14:paraId="72B3C54A" w14:textId="77777777" w:rsidR="003F151F" w:rsidRDefault="003F151F" w:rsidP="003F151F">
      <w:r>
        <w:t>&lt;</w:t>
      </w:r>
      <w:proofErr w:type="spellStart"/>
      <w:r>
        <w:t>br</w:t>
      </w:r>
      <w:proofErr w:type="spellEnd"/>
      <w:r>
        <w:t>/&gt;</w:t>
      </w:r>
    </w:p>
    <w:p w14:paraId="12BF7FBA" w14:textId="7CCBF2BB" w:rsidR="003F151F" w:rsidRDefault="003F151F" w:rsidP="003F151F">
      <w:r>
        <w:t xml:space="preserve">**[Placeholder: Graph or Table Demonstrating Potential CO₂ Offset Over the Project’s </w:t>
      </w:r>
      <w:proofErr w:type="gramStart"/>
      <w:r>
        <w:t>Lifetime]*</w:t>
      </w:r>
      <w:proofErr w:type="gramEnd"/>
      <w:r>
        <w:t>*</w:t>
      </w:r>
    </w:p>
    <w:p w14:paraId="372BE57F" w14:textId="2A1012D4" w:rsidR="003F151F" w:rsidRDefault="003F151F" w:rsidP="003F151F"/>
    <w:p w14:paraId="28C7FD61" w14:textId="77777777" w:rsidR="003F151F" w:rsidRDefault="003F151F" w:rsidP="003F151F">
      <w:r>
        <w:t xml:space="preserve">**9. Conclusions**  </w:t>
      </w:r>
    </w:p>
    <w:p w14:paraId="1B5047E2" w14:textId="77777777" w:rsidR="003F151F" w:rsidRDefault="003F151F" w:rsidP="003F151F">
      <w:r>
        <w:t xml:space="preserve">*(Approx. 220–275 </w:t>
      </w:r>
      <w:proofErr w:type="gramStart"/>
      <w:r>
        <w:t>words)*</w:t>
      </w:r>
      <w:proofErr w:type="gramEnd"/>
    </w:p>
    <w:p w14:paraId="71E2742D" w14:textId="77777777" w:rsidR="003F151F" w:rsidRDefault="003F151F" w:rsidP="003F151F"/>
    <w:p w14:paraId="178FE2B4" w14:textId="77777777" w:rsidR="003F151F" w:rsidRDefault="003F151F" w:rsidP="003F151F">
      <w:r>
        <w:lastRenderedPageBreak/>
        <w:t xml:space="preserve">The 4.6 MWp ground-mounted installation at Interloop stands as a technically sound solution for harnessing solar resources in the Faisalabad region. The combination of bifacial modules, carefully optimized ground clearance, and a robust DC/AC ratio (~1.29) underpins a system capable of delivering significant energy yields, estimated between 6.38 GWh and 6.42 GWh annually. Detailed </w:t>
      </w:r>
      <w:proofErr w:type="spellStart"/>
      <w:r>
        <w:t>PVSyst</w:t>
      </w:r>
      <w:proofErr w:type="spellEnd"/>
      <w:r>
        <w:t xml:space="preserve"> simulations, informed by local meteorological data, confirm that the selected configuration, including targeted soiling factors, mismatch considerations, and advanced string inverters, is poised to achieve performance ratios near 83–84 percent. These outputs underscore the reliability of the chosen design strategies, while also providing a margin for addressing future variations in environmental conditions or operational constraints.</w:t>
      </w:r>
    </w:p>
    <w:p w14:paraId="05F8CCB7" w14:textId="77777777" w:rsidR="003F151F" w:rsidRDefault="003F151F" w:rsidP="003F151F"/>
    <w:p w14:paraId="34D23A3C" w14:textId="77777777" w:rsidR="003F151F" w:rsidRDefault="003F151F" w:rsidP="003F151F">
      <w:r>
        <w:t xml:space="preserve">From a structural perspective, galvanized piles, 20 degrees of tilt, and a modular mounting framework promote longevity and ease of assembly. Meanwhile, the electrical infrastructure—spanning surge-protected DC combiner panels, modern string inverters, and a 5,000 kVA transformer—demonstrates strict adherence to local grid codes and recognized industry standards. Lightning protection via Early Streamer Emission devices, alongside a carefully distributed earthing scheme, further augments system resilience.  </w:t>
      </w:r>
    </w:p>
    <w:p w14:paraId="0010DAA8" w14:textId="77777777" w:rsidR="003F151F" w:rsidRDefault="003F151F" w:rsidP="003F151F"/>
    <w:p w14:paraId="21A0FDC1" w14:textId="77777777" w:rsidR="003F151F" w:rsidRDefault="003F151F" w:rsidP="003F151F">
      <w:r>
        <w:t>Moving forward, prospective enhancements may include battery storage for enhanced load management, real-time data analytics to refine cleaning schedules, or expansions of the ground clearance approach. The project’s anticipated carbon savings and favorable economic outlook highlight the broader value of integrating solar power into industrial contexts. By combining structural robustness, meticulous electrical design, and strategic O&amp;M planning, this venture is positioned to fulfill its long-term energy goals while reinforcing environmental stewardship.</w:t>
      </w:r>
    </w:p>
    <w:p w14:paraId="38339AB9" w14:textId="77777777" w:rsidR="003F151F" w:rsidRDefault="003F151F" w:rsidP="003F151F"/>
    <w:p w14:paraId="2EC388DE" w14:textId="77777777" w:rsidR="003F151F" w:rsidRDefault="003F151F" w:rsidP="003F151F">
      <w:r>
        <w:t>&lt;</w:t>
      </w:r>
      <w:proofErr w:type="spellStart"/>
      <w:r>
        <w:t>br</w:t>
      </w:r>
      <w:proofErr w:type="spellEnd"/>
      <w:r>
        <w:t>/&gt;</w:t>
      </w:r>
    </w:p>
    <w:p w14:paraId="1E668870" w14:textId="77777777" w:rsidR="003F151F" w:rsidRDefault="003F151F" w:rsidP="003F151F"/>
    <w:p w14:paraId="5E8CF7B8" w14:textId="77777777" w:rsidR="003F151F" w:rsidRDefault="003F151F" w:rsidP="003F151F">
      <w:r>
        <w:t xml:space="preserve">**10. Appendices**  </w:t>
      </w:r>
    </w:p>
    <w:p w14:paraId="61082F2D" w14:textId="77777777" w:rsidR="003F151F" w:rsidRDefault="003F151F" w:rsidP="003F151F">
      <w:r>
        <w:t xml:space="preserve">*(No fixed word </w:t>
      </w:r>
      <w:proofErr w:type="gramStart"/>
      <w:r>
        <w:t>count)*</w:t>
      </w:r>
      <w:proofErr w:type="gramEnd"/>
    </w:p>
    <w:p w14:paraId="1206A951" w14:textId="77777777" w:rsidR="003F151F" w:rsidRDefault="003F151F" w:rsidP="003F151F"/>
    <w:p w14:paraId="249A4558" w14:textId="77777777" w:rsidR="003F151F" w:rsidRDefault="003F151F" w:rsidP="003F151F">
      <w:r>
        <w:t xml:space="preserve">- **A. Bill of Quantities (BOQ)**  </w:t>
      </w:r>
    </w:p>
    <w:p w14:paraId="4D630E4B" w14:textId="77777777" w:rsidR="003F151F" w:rsidRDefault="003F151F" w:rsidP="003F151F">
      <w:r>
        <w:t xml:space="preserve">  Complete list of materials, equipment, and reference pricing as outlined in “BOQ - IL Updated - 20240701.”</w:t>
      </w:r>
    </w:p>
    <w:p w14:paraId="6C283E77" w14:textId="77777777" w:rsidR="003F151F" w:rsidRDefault="003F151F" w:rsidP="003F151F"/>
    <w:p w14:paraId="5EF158A9" w14:textId="77777777" w:rsidR="003F151F" w:rsidRDefault="003F151F" w:rsidP="003F151F">
      <w:r>
        <w:t xml:space="preserve">- **B. Detailed Engineering Diagrams**  </w:t>
      </w:r>
    </w:p>
    <w:p w14:paraId="6BE327EE" w14:textId="77777777" w:rsidR="003F151F" w:rsidRDefault="003F151F" w:rsidP="003F151F">
      <w:r>
        <w:t xml:space="preserve">  1. **AC/DC Cable Route Layout** (Interloop Ground Model)  </w:t>
      </w:r>
    </w:p>
    <w:p w14:paraId="047FBBD1" w14:textId="77777777" w:rsidR="003F151F" w:rsidRDefault="003F151F" w:rsidP="003F151F">
      <w:r>
        <w:lastRenderedPageBreak/>
        <w:t xml:space="preserve">  2. **</w:t>
      </w:r>
      <w:proofErr w:type="spellStart"/>
      <w:r>
        <w:t>InterLoop</w:t>
      </w:r>
      <w:proofErr w:type="spellEnd"/>
      <w:r>
        <w:t xml:space="preserve"> Final Module &amp; Piles Layout**  </w:t>
      </w:r>
    </w:p>
    <w:p w14:paraId="3354F933" w14:textId="77777777" w:rsidR="003F151F" w:rsidRDefault="003F151F" w:rsidP="003F151F">
      <w:r>
        <w:t xml:space="preserve">  3. **ESE Layout -Interloop Ground Model**  </w:t>
      </w:r>
    </w:p>
    <w:p w14:paraId="5DE8DCD0" w14:textId="77777777" w:rsidR="003F151F" w:rsidRDefault="003F151F" w:rsidP="003F151F">
      <w:r>
        <w:t xml:space="preserve">  4. **Interloop Limited_P1 Ground Section 600 Clearance _Rev00**  </w:t>
      </w:r>
    </w:p>
    <w:p w14:paraId="496BF5BF" w14:textId="77777777" w:rsidR="003F151F" w:rsidRDefault="003F151F" w:rsidP="003F151F">
      <w:r>
        <w:t xml:space="preserve">  5. **Interloop Limited_P1 Ground Section 1000 Clearance _Rev00**  </w:t>
      </w:r>
    </w:p>
    <w:p w14:paraId="4DBF8697" w14:textId="77777777" w:rsidR="003F151F" w:rsidRDefault="003F151F" w:rsidP="003F151F">
      <w:r>
        <w:t xml:space="preserve">  6. **</w:t>
      </w:r>
      <w:proofErr w:type="spellStart"/>
      <w:r>
        <w:t>Inveter</w:t>
      </w:r>
      <w:proofErr w:type="spellEnd"/>
      <w:r>
        <w:t xml:space="preserve"> Placement Layout IL - 20240816**  </w:t>
      </w:r>
    </w:p>
    <w:p w14:paraId="479B1F67" w14:textId="77777777" w:rsidR="003F151F" w:rsidRDefault="003F151F" w:rsidP="003F151F"/>
    <w:p w14:paraId="25109660" w14:textId="77777777" w:rsidR="003F151F" w:rsidRDefault="003F151F" w:rsidP="003F151F">
      <w:r>
        <w:t xml:space="preserve">- **C. </w:t>
      </w:r>
      <w:proofErr w:type="spellStart"/>
      <w:r>
        <w:t>PVSyst</w:t>
      </w:r>
      <w:proofErr w:type="spellEnd"/>
      <w:r>
        <w:t xml:space="preserve"> Reports**  </w:t>
      </w:r>
    </w:p>
    <w:p w14:paraId="0865A031" w14:textId="77777777" w:rsidR="003F151F" w:rsidRDefault="003F151F" w:rsidP="003F151F">
      <w:r>
        <w:t xml:space="preserve">  Simulation outputs for both 0.6 m and 1.0 m ground clearance configurations, including monthly yields, loss diagrams, and P50/P90 assessments.</w:t>
      </w:r>
    </w:p>
    <w:p w14:paraId="3DBF3DEF" w14:textId="77777777" w:rsidR="003F151F" w:rsidRDefault="003F151F" w:rsidP="003F151F"/>
    <w:p w14:paraId="6CB7D443" w14:textId="77777777" w:rsidR="003F151F" w:rsidRDefault="003F151F" w:rsidP="003F151F">
      <w:r>
        <w:t xml:space="preserve">- **D. Timeline (Gantt </w:t>
      </w:r>
      <w:proofErr w:type="gramStart"/>
      <w:r>
        <w:t>Chart)*</w:t>
      </w:r>
      <w:proofErr w:type="gramEnd"/>
      <w:r>
        <w:t xml:space="preserve">*  </w:t>
      </w:r>
    </w:p>
    <w:p w14:paraId="6356F165" w14:textId="77777777" w:rsidR="003F151F" w:rsidRDefault="003F151F" w:rsidP="003F151F">
      <w:r>
        <w:t xml:space="preserve">  “Timeline-Interloop 4.6MW.pdf” providing stepwise overview of design approvals, procurement schedules, civil execution, and commissioning.</w:t>
      </w:r>
    </w:p>
    <w:p w14:paraId="19778EA1" w14:textId="77777777" w:rsidR="003F151F" w:rsidRDefault="003F151F" w:rsidP="003F151F"/>
    <w:p w14:paraId="1AA76F49" w14:textId="77777777" w:rsidR="003F151F" w:rsidRDefault="003F151F" w:rsidP="003F151F">
      <w:r>
        <w:t xml:space="preserve">- **E. Additional Datasheets and Approvals**  </w:t>
      </w:r>
    </w:p>
    <w:p w14:paraId="24651139" w14:textId="77777777" w:rsidR="003F151F" w:rsidRDefault="003F151F" w:rsidP="003F151F">
      <w:r>
        <w:t xml:space="preserve">  Manufacturer technical brochures for modules, inverters, cables, and protective devices, along with any environmental or regulatory compliance certificates.</w:t>
      </w:r>
    </w:p>
    <w:p w14:paraId="5452790B" w14:textId="77777777" w:rsidR="003F151F" w:rsidRDefault="003F151F" w:rsidP="003F151F"/>
    <w:p w14:paraId="7AFA83D1" w14:textId="77777777" w:rsidR="003F151F" w:rsidRDefault="003F151F" w:rsidP="003F151F">
      <w:r>
        <w:t>&lt;</w:t>
      </w:r>
      <w:proofErr w:type="spellStart"/>
      <w:r>
        <w:t>br</w:t>
      </w:r>
      <w:proofErr w:type="spellEnd"/>
      <w:r>
        <w:t>/&gt;</w:t>
      </w:r>
    </w:p>
    <w:p w14:paraId="45AF12C0" w14:textId="779FED8C" w:rsidR="003F151F" w:rsidRDefault="003F151F" w:rsidP="003F151F">
      <w:r>
        <w:t>**[Placeholder: Comprehensive List of Figures and Tables Referenced in the Main Text]**</w:t>
      </w:r>
    </w:p>
    <w:sectPr w:rsidR="003F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1F"/>
    <w:rsid w:val="00375CC3"/>
    <w:rsid w:val="003F151F"/>
    <w:rsid w:val="0097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36ED"/>
  <w15:chartTrackingRefBased/>
  <w15:docId w15:val="{1FE02D66-FF48-4584-8DD5-2D7EC7B8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0661">
      <w:bodyDiv w:val="1"/>
      <w:marLeft w:val="0"/>
      <w:marRight w:val="0"/>
      <w:marTop w:val="0"/>
      <w:marBottom w:val="0"/>
      <w:divBdr>
        <w:top w:val="none" w:sz="0" w:space="0" w:color="auto"/>
        <w:left w:val="none" w:sz="0" w:space="0" w:color="auto"/>
        <w:bottom w:val="none" w:sz="0" w:space="0" w:color="auto"/>
        <w:right w:val="none" w:sz="0" w:space="0" w:color="auto"/>
      </w:divBdr>
    </w:div>
    <w:div w:id="452872152">
      <w:bodyDiv w:val="1"/>
      <w:marLeft w:val="0"/>
      <w:marRight w:val="0"/>
      <w:marTop w:val="0"/>
      <w:marBottom w:val="0"/>
      <w:divBdr>
        <w:top w:val="none" w:sz="0" w:space="0" w:color="auto"/>
        <w:left w:val="none" w:sz="0" w:space="0" w:color="auto"/>
        <w:bottom w:val="none" w:sz="0" w:space="0" w:color="auto"/>
        <w:right w:val="none" w:sz="0" w:space="0" w:color="auto"/>
      </w:divBdr>
    </w:div>
    <w:div w:id="493377737">
      <w:bodyDiv w:val="1"/>
      <w:marLeft w:val="0"/>
      <w:marRight w:val="0"/>
      <w:marTop w:val="0"/>
      <w:marBottom w:val="0"/>
      <w:divBdr>
        <w:top w:val="none" w:sz="0" w:space="0" w:color="auto"/>
        <w:left w:val="none" w:sz="0" w:space="0" w:color="auto"/>
        <w:bottom w:val="none" w:sz="0" w:space="0" w:color="auto"/>
        <w:right w:val="none" w:sz="0" w:space="0" w:color="auto"/>
      </w:divBdr>
    </w:div>
    <w:div w:id="542908428">
      <w:bodyDiv w:val="1"/>
      <w:marLeft w:val="0"/>
      <w:marRight w:val="0"/>
      <w:marTop w:val="0"/>
      <w:marBottom w:val="0"/>
      <w:divBdr>
        <w:top w:val="none" w:sz="0" w:space="0" w:color="auto"/>
        <w:left w:val="none" w:sz="0" w:space="0" w:color="auto"/>
        <w:bottom w:val="none" w:sz="0" w:space="0" w:color="auto"/>
        <w:right w:val="none" w:sz="0" w:space="0" w:color="auto"/>
      </w:divBdr>
    </w:div>
    <w:div w:id="786512959">
      <w:bodyDiv w:val="1"/>
      <w:marLeft w:val="0"/>
      <w:marRight w:val="0"/>
      <w:marTop w:val="0"/>
      <w:marBottom w:val="0"/>
      <w:divBdr>
        <w:top w:val="none" w:sz="0" w:space="0" w:color="auto"/>
        <w:left w:val="none" w:sz="0" w:space="0" w:color="auto"/>
        <w:bottom w:val="none" w:sz="0" w:space="0" w:color="auto"/>
        <w:right w:val="none" w:sz="0" w:space="0" w:color="auto"/>
      </w:divBdr>
    </w:div>
    <w:div w:id="864749179">
      <w:bodyDiv w:val="1"/>
      <w:marLeft w:val="0"/>
      <w:marRight w:val="0"/>
      <w:marTop w:val="0"/>
      <w:marBottom w:val="0"/>
      <w:divBdr>
        <w:top w:val="none" w:sz="0" w:space="0" w:color="auto"/>
        <w:left w:val="none" w:sz="0" w:space="0" w:color="auto"/>
        <w:bottom w:val="none" w:sz="0" w:space="0" w:color="auto"/>
        <w:right w:val="none" w:sz="0" w:space="0" w:color="auto"/>
      </w:divBdr>
    </w:div>
    <w:div w:id="1001615810">
      <w:bodyDiv w:val="1"/>
      <w:marLeft w:val="0"/>
      <w:marRight w:val="0"/>
      <w:marTop w:val="0"/>
      <w:marBottom w:val="0"/>
      <w:divBdr>
        <w:top w:val="none" w:sz="0" w:space="0" w:color="auto"/>
        <w:left w:val="none" w:sz="0" w:space="0" w:color="auto"/>
        <w:bottom w:val="none" w:sz="0" w:space="0" w:color="auto"/>
        <w:right w:val="none" w:sz="0" w:space="0" w:color="auto"/>
      </w:divBdr>
    </w:div>
    <w:div w:id="1486966442">
      <w:bodyDiv w:val="1"/>
      <w:marLeft w:val="0"/>
      <w:marRight w:val="0"/>
      <w:marTop w:val="0"/>
      <w:marBottom w:val="0"/>
      <w:divBdr>
        <w:top w:val="none" w:sz="0" w:space="0" w:color="auto"/>
        <w:left w:val="none" w:sz="0" w:space="0" w:color="auto"/>
        <w:bottom w:val="none" w:sz="0" w:space="0" w:color="auto"/>
        <w:right w:val="none" w:sz="0" w:space="0" w:color="auto"/>
      </w:divBdr>
    </w:div>
    <w:div w:id="1672878251">
      <w:bodyDiv w:val="1"/>
      <w:marLeft w:val="0"/>
      <w:marRight w:val="0"/>
      <w:marTop w:val="0"/>
      <w:marBottom w:val="0"/>
      <w:divBdr>
        <w:top w:val="none" w:sz="0" w:space="0" w:color="auto"/>
        <w:left w:val="none" w:sz="0" w:space="0" w:color="auto"/>
        <w:bottom w:val="none" w:sz="0" w:space="0" w:color="auto"/>
        <w:right w:val="none" w:sz="0" w:space="0" w:color="auto"/>
      </w:divBdr>
    </w:div>
    <w:div w:id="1703818548">
      <w:bodyDiv w:val="1"/>
      <w:marLeft w:val="0"/>
      <w:marRight w:val="0"/>
      <w:marTop w:val="0"/>
      <w:marBottom w:val="0"/>
      <w:divBdr>
        <w:top w:val="none" w:sz="0" w:space="0" w:color="auto"/>
        <w:left w:val="none" w:sz="0" w:space="0" w:color="auto"/>
        <w:bottom w:val="none" w:sz="0" w:space="0" w:color="auto"/>
        <w:right w:val="none" w:sz="0" w:space="0" w:color="auto"/>
      </w:divBdr>
    </w:div>
    <w:div w:id="1868786431">
      <w:bodyDiv w:val="1"/>
      <w:marLeft w:val="0"/>
      <w:marRight w:val="0"/>
      <w:marTop w:val="0"/>
      <w:marBottom w:val="0"/>
      <w:divBdr>
        <w:top w:val="none" w:sz="0" w:space="0" w:color="auto"/>
        <w:left w:val="none" w:sz="0" w:space="0" w:color="auto"/>
        <w:bottom w:val="none" w:sz="0" w:space="0" w:color="auto"/>
        <w:right w:val="none" w:sz="0" w:space="0" w:color="auto"/>
      </w:divBdr>
    </w:div>
    <w:div w:id="1980260185">
      <w:bodyDiv w:val="1"/>
      <w:marLeft w:val="0"/>
      <w:marRight w:val="0"/>
      <w:marTop w:val="0"/>
      <w:marBottom w:val="0"/>
      <w:divBdr>
        <w:top w:val="none" w:sz="0" w:space="0" w:color="auto"/>
        <w:left w:val="none" w:sz="0" w:space="0" w:color="auto"/>
        <w:bottom w:val="none" w:sz="0" w:space="0" w:color="auto"/>
        <w:right w:val="none" w:sz="0" w:space="0" w:color="auto"/>
      </w:divBdr>
    </w:div>
    <w:div w:id="2115248471">
      <w:bodyDiv w:val="1"/>
      <w:marLeft w:val="0"/>
      <w:marRight w:val="0"/>
      <w:marTop w:val="0"/>
      <w:marBottom w:val="0"/>
      <w:divBdr>
        <w:top w:val="none" w:sz="0" w:space="0" w:color="auto"/>
        <w:left w:val="none" w:sz="0" w:space="0" w:color="auto"/>
        <w:bottom w:val="none" w:sz="0" w:space="0" w:color="auto"/>
        <w:right w:val="none" w:sz="0" w:space="0" w:color="auto"/>
      </w:divBdr>
    </w:div>
    <w:div w:id="21305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Hassan</dc:creator>
  <cp:keywords/>
  <dc:description/>
  <cp:lastModifiedBy>Talal Hassan</cp:lastModifiedBy>
  <cp:revision>1</cp:revision>
  <dcterms:created xsi:type="dcterms:W3CDTF">2025-04-10T06:08:00Z</dcterms:created>
  <dcterms:modified xsi:type="dcterms:W3CDTF">2025-04-10T06:23:00Z</dcterms:modified>
</cp:coreProperties>
</file>