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Приказ о зачислении на службу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{{signed_at}}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{{reg_number}}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ҚБП</w:t>
      </w:r>
    </w:p>
    <w:p>
      <w:pPr>
        <w:spacing w:before="0" w:after="0" w:line="288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дана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Жеке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құрам бойынша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5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Қазақстан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Республикасының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арнаулы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мемлкеттік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органдары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туралы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Қазақстан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Республикасының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2012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жылғы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13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ақпандағы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Заңынажәне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Мемлекеттік бюджет есебінен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қамтылған барлық органдар үшін қызметкерлердің еңбегіне ақы төлеудің бірыңғай жүйесін бекіту туралы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Қазақстан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Республикасы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Үкіметінің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2017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жылғы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16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қазандағы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1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646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қбп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қаулысына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сәйкес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БҰЙЫРАМЫН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:</w:t>
      </w:r>
    </w:p>
    <w:p>
      <w:pPr>
        <w:spacing w:before="0" w:after="0" w:line="288"/>
        <w:ind w:right="0" w:left="0" w:firstLine="5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Қазақстан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Республикасы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Қарулы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күштерінің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запасынан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келген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 {{rank}} {{last_name}} {{first_name}} {{father_name}} ({{id_number}})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Қазақстан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Республикасы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Мемлекеттік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күзет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қызметінің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бұдан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әрі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ҚР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МКҚ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немесе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Қызмет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кадрына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келісімшарт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бойынша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қызметке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ҚАБЫЛДАНСЫН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spacing w:before="0" w:after="0" w:line="288"/>
        <w:ind w:right="0" w:left="0" w:firstLine="5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Онымен {{period}} мерзімге келісімшарт ЖАСАЛСЫН, о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ған қайта аттестаттау тәртібімен ҚР МКҚ {{new_rank}} арнаулы атағы БЕРІЛСІН және ол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кадрлар департаментінің {{department_name}}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1"/>
          <w:shd w:fill="auto" w:val="clear"/>
        </w:rPr>
        <w:t xml:space="preserve">{{position}}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({{position_id}})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болып ТАҒАЙЫНДАЛСЫН. </w:t>
      </w:r>
    </w:p>
    <w:p>
      <w:pPr>
        <w:spacing w:before="0" w:after="0" w:line="288"/>
        <w:ind w:right="0" w:left="0" w:firstLine="5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  <w:t xml:space="preserve">үдделі бөлімшелер осы бұйрықтан туындайтын шаралар ҚОЛДАНСЫН.</w:t>
      </w:r>
    </w:p>
    <w:p>
      <w:pPr>
        <w:spacing w:before="0" w:after="0" w:line="288"/>
        <w:ind w:right="0" w:left="0" w:firstLine="52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52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</w:t>
      </w:r>
    </w:p>
    <w:p>
      <w:pPr>
        <w:spacing w:before="0" w:after="0" w:line="288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  <w:t xml:space="preserve">генерал-майор                                                                           С. Исабеков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