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center"/>
        <w:rPr>
          <w:rFonts w:ascii="Aptos" w:hAnsi="Aptos" w:cs="Aptos" w:eastAsia="Aptos"/>
          <w:b/>
          <w:color w:val="auto"/>
          <w:spacing w:val="0"/>
          <w:position w:val="0"/>
          <w:sz w:val="56"/>
          <w:shd w:fill="auto" w:val="clear"/>
        </w:rPr>
      </w:pPr>
      <w:r>
        <w:rPr>
          <w:rFonts w:ascii="Arial" w:hAnsi="Arial" w:cs="Arial" w:eastAsia="Arial"/>
          <w:b/>
          <w:color w:val="auto"/>
          <w:spacing w:val="0"/>
          <w:position w:val="0"/>
          <w:sz w:val="56"/>
          <w:shd w:fill="auto" w:val="clear"/>
        </w:rPr>
        <w:t xml:space="preserve">Forecasting Industrial Production of Electric and Gas Utilities.</w:t>
      </w:r>
    </w:p>
    <w:p>
      <w:pPr>
        <w:spacing w:before="0" w:after="160" w:line="279"/>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Introduction:</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energy sector is central to underpinning industrial production, infrastructure, and economic growth. Among the sectors in this category, electric and gas utilities are pivotal in powering industries, enterprises, and residences throughout the United States. It is essential for tracking and predicting production levels in this industry by various stakeholders such as government, utility companies, investors, and policymakers. Reliable predictions can guide capacity planning, pricing, environmental policy, and energy security decisions.</w:t>
      </w:r>
      <w:r>
        <w:rPr>
          <w:rFonts w:ascii="Aptos" w:hAnsi="Aptos" w:cs="Aptos" w:eastAsia="Aptos"/>
          <w:color w:val="auto"/>
          <w:spacing w:val="0"/>
          <w:position w:val="0"/>
          <w:sz w:val="24"/>
          <w:shd w:fill="auto" w:val="clear"/>
        </w:rPr>
        <w:br/>
      </w:r>
      <w:r>
        <w:rPr>
          <w:rFonts w:ascii="Arial" w:hAnsi="Arial" w:cs="Arial" w:eastAsia="Arial"/>
          <w:color w:val="auto"/>
          <w:spacing w:val="0"/>
          <w:position w:val="0"/>
          <w:sz w:val="22"/>
          <w:shd w:fill="auto" w:val="clear"/>
        </w:rPr>
        <w:t xml:space="preserve">This project involves projecting the Industrial Production Index for electric and gas utilities in the US. The particular dataset employed in this research is the FRED (Federal Reserve Economic Data) code IPG2211A2N, and it reports series of monthly index values having 2017 as the base year (Index 2017 = 100). It has been time series since January 1939 up to the most current available month, providing an extensive historical perspective of industrial production within this industry.</w:t>
      </w:r>
      <w:r>
        <w:rPr>
          <w:rFonts w:ascii="Aptos" w:hAnsi="Aptos" w:cs="Aptos" w:eastAsia="Aptos"/>
          <w:color w:val="auto"/>
          <w:spacing w:val="0"/>
          <w:position w:val="0"/>
          <w:sz w:val="24"/>
          <w:shd w:fill="auto" w:val="clear"/>
        </w:rPr>
        <w:br/>
      </w:r>
      <w:r>
        <w:rPr>
          <w:rFonts w:ascii="Arial" w:hAnsi="Arial" w:cs="Arial" w:eastAsia="Arial"/>
          <w:color w:val="auto"/>
          <w:spacing w:val="0"/>
          <w:position w:val="0"/>
          <w:sz w:val="22"/>
          <w:shd w:fill="auto" w:val="clear"/>
        </w:rPr>
        <w:t xml:space="preserve">Time series forecasting is a rigorous statistical method of forecasting future values from past values. Raw time series data usually have more than one component like trends, seasonality, and randomness, and these need to be analyzed and isolated in a proper manner before the forecast can be derived. In this project, the proper systematic methodology was followed to decompose the data, check its properties, and use suitable forecasting models.</w:t>
      </w:r>
      <w:r>
        <w:rPr>
          <w:rFonts w:ascii="Aptos" w:hAnsi="Aptos" w:cs="Aptos" w:eastAsia="Aptos"/>
          <w:color w:val="auto"/>
          <w:spacing w:val="0"/>
          <w:position w:val="0"/>
          <w:sz w:val="24"/>
          <w:shd w:fill="auto" w:val="clear"/>
        </w:rPr>
        <w:br/>
      </w:r>
      <w:r>
        <w:rPr>
          <w:rFonts w:ascii="Arial" w:hAnsi="Arial" w:cs="Arial" w:eastAsia="Arial"/>
          <w:color w:val="auto"/>
          <w:spacing w:val="0"/>
          <w:position w:val="0"/>
          <w:sz w:val="22"/>
          <w:shd w:fill="auto" w:val="clear"/>
        </w:rPr>
        <w:t xml:space="preserve">The steps involved are:</w:t>
      </w:r>
    </w:p>
    <w:p>
      <w:pPr>
        <w:numPr>
          <w:ilvl w:val="0"/>
          <w:numId w:val="3"/>
        </w:numPr>
        <w:spacing w:before="0" w:after="160" w:line="27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The first step involved loading the dataset, then checking its structure and converting dates to a proper format for time series analysis.</w:t>
      </w:r>
    </w:p>
    <w:p>
      <w:pPr>
        <w:numPr>
          <w:ilvl w:val="0"/>
          <w:numId w:val="3"/>
        </w:numPr>
        <w:spacing w:before="0" w:after="160" w:line="27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Transformed the data into a time series in part b, then visualised it, and estimated a smooth local linear trend using kernel regression.</w:t>
      </w:r>
    </w:p>
    <w:p>
      <w:pPr>
        <w:numPr>
          <w:ilvl w:val="0"/>
          <w:numId w:val="3"/>
        </w:numPr>
        <w:spacing w:before="0" w:after="160" w:line="27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third part, removed the estimated trend to obtain a detrended series, plotted it, and tested for stationarity.</w:t>
      </w:r>
    </w:p>
    <w:p>
      <w:pPr>
        <w:numPr>
          <w:ilvl w:val="0"/>
          <w:numId w:val="3"/>
        </w:numPr>
        <w:spacing w:before="0" w:after="160" w:line="279"/>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Then in the next part, I fitted multiple ARMA models to the detrended series, selected the best one using BIC, and summarised its performance.</w:t>
      </w:r>
    </w:p>
    <w:p>
      <w:pPr>
        <w:numPr>
          <w:ilvl w:val="0"/>
          <w:numId w:val="3"/>
        </w:numPr>
        <w:spacing w:before="0" w:after="160" w:line="279"/>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Finally, in the last part, the forecasting method is used to forecast future values by combining the projected trend with ARMA predictions and visualising the results with confidence intervals.</w:t>
      </w:r>
    </w:p>
    <w:p>
      <w:pPr>
        <w:spacing w:before="0" w:after="160" w:line="279"/>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This combined approach provides a flexible yet robust framework for forecasting in changing economic sectors. This analysis output can facilitate evidence-based policy-making and planning in electric and gas utility sectors.</w:t>
      </w:r>
    </w:p>
    <w:p>
      <w:pPr>
        <w:spacing w:before="0" w:after="160" w:line="279"/>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Visualization of Time series data:</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  After lodaing the dataset and make litte changings. The next step in the analysis was plotting the raw data which is part b. This plot revealed several significant patterns:</w:t>
      </w:r>
    </w:p>
    <w:p>
      <w:pPr>
        <w:spacing w:before="0" w:after="160" w:line="279"/>
        <w:ind w:right="0" w:left="0" w:firstLine="0"/>
        <w:jc w:val="left"/>
        <w:rPr>
          <w:rFonts w:ascii="Arial" w:hAnsi="Arial" w:cs="Arial" w:eastAsia="Arial"/>
          <w:color w:val="auto"/>
          <w:spacing w:val="0"/>
          <w:position w:val="0"/>
          <w:sz w:val="24"/>
          <w:shd w:fill="auto" w:val="clear"/>
        </w:rPr>
      </w:pPr>
      <w:r>
        <w:object w:dxaOrig="11880" w:dyaOrig="7128">
          <v:rect xmlns:o="urn:schemas-microsoft-com:office:office" xmlns:v="urn:schemas-microsoft-com:vml" id="rectole0000000000" style="width:594.000000pt;height:356.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9"/>
        <w:ind w:right="0" w:left="0" w:firstLine="0"/>
        <w:jc w:val="left"/>
        <w:rPr>
          <w:rFonts w:ascii="Arial" w:hAnsi="Arial" w:cs="Arial" w:eastAsia="Arial"/>
          <w:color w:val="auto"/>
          <w:spacing w:val="0"/>
          <w:position w:val="0"/>
          <w:sz w:val="24"/>
          <w:shd w:fill="auto" w:val="clear"/>
        </w:rPr>
      </w:pP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graph is a representation of monthly output of electric and gas utilities in the United States from 1939 to the current year, with the index at 100 for the year 2017. The output over the years has generally been on the rise, particularly after the years 1980, which is an indication of growth within the sector. The trend is that electricity and gas consumption has increased over the decades, probably because of population growth, industrialization, and increased technology. The graph is straightforward in showing the pattern by which this major sector has grown over the years, using the year 2017 as a point of reference.</w:t>
      </w:r>
    </w:p>
    <w:p>
      <w:pPr>
        <w:spacing w:before="0" w:after="160" w:line="279"/>
        <w:ind w:right="0" w:left="0" w:firstLine="0"/>
        <w:jc w:val="left"/>
        <w:rPr>
          <w:rFonts w:ascii="Arial" w:hAnsi="Arial" w:cs="Arial" w:eastAsia="Arial"/>
          <w:color w:val="auto"/>
          <w:spacing w:val="0"/>
          <w:position w:val="0"/>
          <w:sz w:val="24"/>
          <w:shd w:fill="auto" w:val="clear"/>
        </w:rPr>
      </w:pPr>
      <w:r>
        <w:object w:dxaOrig="12096" w:dyaOrig="7236">
          <v:rect xmlns:o="urn:schemas-microsoft-com:office:office" xmlns:v="urn:schemas-microsoft-com:vml" id="rectole0000000001" style="width:604.800000pt;height:361.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graph shows the trend of the industrial production index for utilities over time with a smoothed trend line.The black, wavy line is the actual monthly production values - we can see that it has a lot of small ups and downs. The red line indicate the overall trend calculated by the local linear trend model. </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trend does appear to be increasing on average over time, but not in a linear way - it has phases when it happens faster, then slows down, or even drops a bit before continuing its rising trend. The difference between the actual data (black line) and the trend (red line) is always approximately constant over time, and this is informing us that the variation around the trend is constant over time. The trend line takes away the "noise" to reveal to us the underlying trend in the data. The graph enables us to see not just the general long-term trend of industrial production but also how the individual months relate to the general trend.</w:t>
      </w:r>
    </w:p>
    <w:p>
      <w:pPr>
        <w:spacing w:before="0" w:after="160" w:line="279"/>
        <w:ind w:right="0" w:left="0" w:firstLine="0"/>
        <w:jc w:val="left"/>
        <w:rPr>
          <w:rFonts w:ascii="Arial" w:hAnsi="Arial" w:cs="Arial" w:eastAsia="Arial"/>
          <w:color w:val="auto"/>
          <w:spacing w:val="0"/>
          <w:position w:val="0"/>
          <w:sz w:val="24"/>
          <w:shd w:fill="auto" w:val="clear"/>
        </w:rPr>
      </w:pPr>
      <w:r>
        <w:object w:dxaOrig="12981" w:dyaOrig="7797">
          <v:rect xmlns:o="urn:schemas-microsoft-com:office:office" xmlns:v="urn:schemas-microsoft-com:vml" id="rectole0000000002" style="width:649.050000pt;height:389.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Arial" w:hAnsi="Arial" w:cs="Arial" w:eastAsia="Arial"/>
          <w:color w:val="auto"/>
          <w:spacing w:val="0"/>
          <w:position w:val="0"/>
          <w:sz w:val="22"/>
          <w:shd w:fill="auto" w:val="clear"/>
        </w:rPr>
        <w:t xml:space="preserve">When we move to part c we plot the data to check the data is </w:t>
      </w:r>
      <w:r>
        <w:rPr>
          <w:rFonts w:ascii="Arial" w:hAnsi="Arial" w:cs="Arial" w:eastAsia="Arial"/>
          <w:color w:val="auto"/>
          <w:spacing w:val="0"/>
          <w:position w:val="0"/>
          <w:sz w:val="22"/>
          <w:shd w:fill="auto" w:val="clear"/>
        </w:rPr>
        <w:t xml:space="preserve">stationary or not. So</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this plot illustrates the residual short-run fluctuations in industrial production after removing the long-run trend by detrending. The values fluctuate at random around zero (-10 to +10), which indicates by how much production in each month deviated from the forecasted trend. The consistency of these fluctuations over time is a testament to the fact that the data are stationary - i.e., no trends and no seasonality in the data over the long run. These characteristics make the detrended series eligible for statistical analysis of the underlying random fluctuations using ARMA models. The plot nicely displays the "noise" component of the production data that we now model statistically.</w:t>
      </w:r>
    </w:p>
    <w:tbl>
      <w:tblPr/>
      <w:tblGrid>
        <w:gridCol w:w="1803"/>
        <w:gridCol w:w="1803"/>
        <w:gridCol w:w="1803"/>
        <w:gridCol w:w="1803"/>
        <w:gridCol w:w="1803"/>
      </w:tblGrid>
      <w:tr>
        <w:trPr>
          <w:trHeight w:val="300" w:hRule="auto"/>
          <w:jc w:val="left"/>
        </w:trPr>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q=0</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q= 1</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q= 2</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q=3</w:t>
            </w:r>
          </w:p>
        </w:tc>
      </w:tr>
      <w:tr>
        <w:trPr>
          <w:trHeight w:val="300" w:hRule="auto"/>
          <w:jc w:val="left"/>
        </w:trPr>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p= 0</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6658.686</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6025.745</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5825.266</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5817.750</w:t>
            </w:r>
          </w:p>
        </w:tc>
      </w:tr>
      <w:tr>
        <w:trPr>
          <w:trHeight w:val="300" w:hRule="auto"/>
          <w:jc w:val="left"/>
        </w:trPr>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p= 1</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6351.152</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5959.303</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5829.988</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5699.755</w:t>
            </w:r>
          </w:p>
        </w:tc>
      </w:tr>
      <w:tr>
        <w:trPr>
          <w:trHeight w:val="300" w:hRule="auto"/>
          <w:jc w:val="left"/>
        </w:trPr>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p= 2</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5316.858</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5303.557</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5059.880</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4855.150</w:t>
            </w:r>
          </w:p>
        </w:tc>
      </w:tr>
      <w:tr>
        <w:trPr>
          <w:trHeight w:val="300" w:hRule="auto"/>
          <w:jc w:val="left"/>
        </w:trPr>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p= 3</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5290.410</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5282.622</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4810.207</w:t>
            </w:r>
          </w:p>
        </w:tc>
        <w:tc>
          <w:tcPr>
            <w:tcW w:w="1803" w:type="dxa"/>
            <w:tcBorders>
              <w:top w:val="single" w:color="bdd6ee" w:sz="4"/>
              <w:left w:val="single" w:color="bdd6ee" w:sz="4"/>
              <w:bottom w:val="single" w:color="bdd6ee" w:sz="4"/>
              <w:right w:val="single" w:color="bdd6ee"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onsolas" w:hAnsi="Consolas" w:cs="Consolas" w:eastAsia="Consolas"/>
                <w:color w:val="333333"/>
                <w:spacing w:val="0"/>
                <w:position w:val="0"/>
                <w:sz w:val="19"/>
                <w:shd w:fill="auto" w:val="clear"/>
              </w:rPr>
              <w:t xml:space="preserve">4814.908</w:t>
            </w:r>
          </w:p>
        </w:tc>
      </w:tr>
    </w:tbl>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Following fourth part check which ARIMA model is selected. The outcome of the analysis show that the ARMA(3,2) model fits the detrended industrial production data best as it generated the lowest value for BIC at 4810.207 compared to all the combinations that were run. The model can capture the short-run trends in the production variability through the three autoregressive terms (based on the previous three production values) and two moving-average terms (based on the previous two forecast errors). The statistically significant model parameters with small standard errors indicate that the model parameters are reliable, while the low value of root mean squared error (RMSE) at 2.39 is equivalent to high forecasting efficiency. The close-to-zero autocorrelation of the residuals also attests that the model has been able to strip the underlying trends from the data. The above findings confirm that the ARMA(3,2) model is strongly suitable to generate accurate short-run forecasts for industrial production variability following detrending. The high statistical performance combined with the relatively simple structure makes this an ideal candidate for use in real-world forecasting.</w:t>
      </w:r>
    </w:p>
    <w:p>
      <w:pPr>
        <w:spacing w:before="0" w:after="160" w:line="279"/>
        <w:ind w:right="0" w:left="0" w:firstLine="0"/>
        <w:jc w:val="left"/>
        <w:rPr>
          <w:rFonts w:ascii="Arial" w:hAnsi="Arial" w:cs="Arial" w:eastAsia="Arial"/>
          <w:color w:val="auto"/>
          <w:spacing w:val="0"/>
          <w:position w:val="0"/>
          <w:sz w:val="22"/>
          <w:shd w:fill="auto" w:val="clear"/>
        </w:rPr>
      </w:pPr>
      <w:r>
        <w:object w:dxaOrig="12981" w:dyaOrig="7668">
          <v:rect xmlns:o="urn:schemas-microsoft-com:office:office" xmlns:v="urn:schemas-microsoft-com:vml" id="rectole0000000003" style="width:649.050000pt;height:383.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Arial" w:hAnsi="Arial" w:cs="Arial" w:eastAsia="Arial"/>
          <w:color w:val="auto"/>
          <w:spacing w:val="0"/>
          <w:position w:val="0"/>
          <w:sz w:val="22"/>
          <w:shd w:fill="auto" w:val="clear"/>
        </w:rPr>
        <w:t xml:space="preserve">After selecting the best model we moved to last part to forcast model. when we apply forcasting method it show that </w:t>
      </w:r>
      <w:r>
        <w:rPr>
          <w:rFonts w:ascii="Arial" w:hAnsi="Arial" w:cs="Arial" w:eastAsia="Arial"/>
          <w:color w:val="auto"/>
          <w:spacing w:val="0"/>
          <w:position w:val="0"/>
          <w:sz w:val="22"/>
          <w:shd w:fill="auto" w:val="clear"/>
        </w:rPr>
        <w:t xml:space="preserve">the forecast of industrial production for the next 30 months (2.5 years) and the historic values are shown in the forecast plot. The red line is the best-fit trend to identify the long-term pattern, and the black line represents the historic past values of production. The blue line beyond 2023 is the forecasted values of production and is overlaid with a shaded blue band that is the 95% confidence interval - we are 95% sure the actual values will be somewhere within this band.</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forecast is that there is still industrial production growth until 2026, although with a broader confidence interval as time goes by because there is more uncertainty for longer-term forecasts. The historical data are well fitted by the model with the red trend line closely following the actual black line. Smooth blending of the historical data with the forecast indicates that the model has captured the underlying trends of production quite well. This forecast enables firms and policymakers to plan for future levels of production and be aware of the reasonable range of outcomes.</w:t>
      </w:r>
    </w:p>
    <w:p>
      <w:pPr>
        <w:spacing w:before="0" w:after="160" w:line="279"/>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Conclusion:</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project was able to successfully apply time series analysis techniques for modeling and forecasting the Industrial Production Index for the Electric and Gas Utilities sector (IPG2211A2N) in the US. Beginning with the precise scrutiny of the data, the trend was revealed to be one of rising production levels with infrequent short-run fluctuations.</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local linear regression method was used here to estimate and plot the underlying trend, accentuating the phases of higher growth and short-term declines. Homogeneity of variance around the trend made the additive model appropriate. After the removal of the trend component, we distinguished the residual series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which showed random, persistent fluctuations around zero, establishing its stationarity by visual inspection and statistical validation. The detrended data were then modeled with a series of ARMA models. The optimal model was selected by the Bayesian Information Criterion (BIC) to be ARMA(3,2). The model was able to successfully model the short-run behavior in the data with statistically significant coefficients and little residual autocorrelation, which showed that the pervasive dynamic patterns were well modeled.</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7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superimposing the forecast trend over the ARMA forecast, the 30-month ahead forecast was built. The plot of the forecast indicated a continued upward trend in industrial production through 2026, in a 95% prediction interval to account for prediction uncertainty. The model's good fit to historical data and smooth extrapolation to forecast values demonstrated the utility of this method.</w:t>
      </w: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