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Registration - Use Cases: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820"/>
        <w:tblGridChange w:id="0">
          <w:tblGrid>
            <w:gridCol w:w="3045"/>
            <w:gridCol w:w="5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e599" w:space="0" w:sz="8" w:val="single"/>
              <w:left w:color="ffe599" w:space="0" w:sz="8" w:val="single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tcBorders>
              <w:top w:color="ffe599" w:space="0" w:sz="8" w:val="single"/>
              <w:left w:color="000000" w:space="0" w:sz="0" w:val="nil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#001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user registers to the application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user registers to the application so that the system can remember him and his data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has an existing email address.</w:t>
            </w:r>
          </w:p>
        </w:tc>
      </w:tr>
      <w:tr>
        <w:trPr>
          <w:cantSplit w:val="0"/>
          <w:trHeight w:val="832.11914062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Standard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enters the application-&gt; enters the registration page-&gt; enters personal details (email, password, name).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Receive a message that the account has been successfully created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email address is no longer active.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Internet connection problems.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000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