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F4E79"/>
          <w:sz w:val="56"/>
          <w:szCs w:val="56"/>
        </w:rPr>
        <w:t xml:space="preserve">Talent-X</w:t>
      </w:r>
    </w:p>
    <w:p>
      <w:pPr>
        <w:spacing w:after="40"/>
        <w:jc w:val="center"/>
      </w:pPr>
      <w:r>
        <w:rPr>
          <w:b/>
          <w:bCs/>
          <w:color w:val="2E75B6"/>
          <w:sz w:val="26"/>
          <w:szCs w:val="26"/>
        </w:rPr>
        <w:t xml:space="preserve">Document 2 — Spécifications fonctionnelles et conception d'API</w:t>
      </w:r>
    </w:p>
    <w:p>
      <w:pPr>
        <w:spacing w:after="200"/>
        <w:jc w:val="center"/>
      </w:pPr>
      <w:r>
        <w:rPr>
          <w:i/>
          <w:iCs/>
          <w:color w:val="595959"/>
          <w:sz w:val="20"/>
          <w:szCs w:val="20"/>
        </w:rPr>
        <w:t xml:space="preserve">Fonctionnalités, règles métier, modèle d'autorisation et contrats d'échange REST — révision intégrant l'audit de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DEEAF6" w:val="clear"/>
            <w:tcMar>
              <w:top w:type="dxa" w:w="50"/>
              <w:left w:type="dxa" w:w="100"/>
              <w:bottom w:type="dxa" w:w="50"/>
              <w:right w:type="dxa" w:w="100"/>
            </w:tcMar>
            <w:vAlign w:val="center"/>
          </w:tcPr>
          <w:p>
            <w:r>
              <w:rPr>
                <w:b/>
                <w:bCs/>
              </w:rPr>
              <w:t xml:space="preserve">Référence</w:t>
            </w:r>
          </w:p>
        </w:tc>
        <w:tc>
          <w:tcPr>
            <w:tcW w:type="dxa" w:w="6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TX-SPEC-002</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100"/>
              <w:bottom w:type="dxa" w:w="50"/>
              <w:right w:type="dxa" w:w="100"/>
            </w:tcMar>
            <w:vAlign w:val="center"/>
          </w:tcPr>
          <w:p>
            <w:r>
              <w:rPr>
                <w:b/>
                <w:bCs/>
              </w:rPr>
              <w:t xml:space="preserve">Version</w:t>
            </w:r>
          </w:p>
        </w:tc>
        <w:tc>
          <w:tcPr>
            <w:tcW w:type="dxa" w:w="6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2.0</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100"/>
              <w:bottom w:type="dxa" w:w="50"/>
              <w:right w:type="dxa" w:w="100"/>
            </w:tcMar>
            <w:vAlign w:val="center"/>
          </w:tcPr>
          <w:p>
            <w:r>
              <w:rPr>
                <w:b/>
                <w:bCs/>
              </w:rPr>
              <w:t xml:space="preserve">Date</w:t>
            </w:r>
          </w:p>
        </w:tc>
        <w:tc>
          <w:tcPr>
            <w:tcW w:type="dxa" w:w="6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4 juin 2026</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100"/>
              <w:bottom w:type="dxa" w:w="50"/>
              <w:right w:type="dxa" w:w="100"/>
            </w:tcMar>
            <w:vAlign w:val="center"/>
          </w:tcPr>
          <w:p>
            <w:r>
              <w:rPr>
                <w:b/>
                <w:bCs/>
              </w:rPr>
              <w:t xml:space="preserve">Statut</w:t>
            </w:r>
          </w:p>
        </w:tc>
        <w:tc>
          <w:tcPr>
            <w:tcW w:type="dxa" w:w="68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Spécification technique détaillée — révision 2.0 (corrections d'audit + améliorations)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t xml:space="preserve">Ce document fait partie du lot documentaire Talent-X. Il décrit les fonctionnalités, les règles métier et les contrats d'API. Il s'appuie sur le modèle d'autorisation et le modèle de données : pour la structure des données, TX-DATA-006 fait foi ; pour l'architecture et l'authentification, voir TX-ARCH-001. La présente révision rend les contrats cohérents avec les fonctionnalités décrites et comble les lacunes de l'audit.</w:t>
            </w:r>
          </w:p>
        </w:tc>
      </w:tr>
    </w:tbl>
    <w:p>
      <w:r>
        <w:br w:type="page"/>
      </w:r>
    </w:p>
    <w:p>
      <w:pPr>
        <w:pStyle w:val="Heading1"/>
      </w:pPr>
      <w:r>
        <w:t xml:space="preserve">Historique des révisions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426"/>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Date</w:t>
            </w:r>
          </w:p>
        </w:tc>
        <w:tc>
          <w:tcPr>
            <w:tcW w:type="dxa" w:w="642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Nature des modifications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8 avril 2026</w:t>
            </w:r>
          </w:p>
        </w:tc>
        <w:tc>
          <w:tcPr>
            <w:tcW w:type="dxa" w:w="6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Version initiale.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2.0</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4 juin 2026</w:t>
            </w:r>
          </w:p>
        </w:tc>
        <w:tc>
          <w:tcPr>
            <w:tcW w:type="dxa" w:w="6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Matrice d'autorisation complète ; catalogue d'endpoints complété (consentements, logout/logout-all, gestion des effectifs, commentaires, notifications, archivage, opérations asynchrones) ; relation performance↔affectation ; idempotence des écritures sensibles ; enveloppe de pagination ; en-têtes de rate limiting ; rotation et détection de réutilisation des refresh tokens ; reset de mot de passe anti-énumération ; cycle de vie séance/affectation aligné sur TX-DATA-006 ; clarification de « programme » (V2) ; nouvelles règles métier RB-07 à RB-11.</w:t>
            </w:r>
          </w:p>
        </w:tc>
      </w:tr>
    </w:tbl>
    <w:p>
      <w:pPr>
        <w:spacing w:after="80"/>
      </w:pPr>
      <w:r>
        <w:t xml:space="preserve"/>
      </w:r>
    </w:p>
    <w:p>
      <w:pPr>
        <w:spacing w:after="60" w:before="60"/>
      </w:pPr>
      <w:r>
        <w:rPr>
          <w:b/>
          <w:bCs/>
          <w:color w:val="1F4E79"/>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Périmètre fonctionnel</w:t>
      </w:r>
    </w:p>
    <w:p>
      <w:pPr>
        <w:spacing w:after="120" w:line="264"/>
      </w:pPr>
      <w:r>
        <w:t xml:space="preserve">Talent-X couvre le cycle de travail quotidien entre un coach et un athlète : planifier, attribuer, exécuter, mesurer, commenter et analyser. Les fonctionnalités restent lisibles dans l'application mobile et simples à exposer via des ressources API stables.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Domaine</w:t>
            </w:r>
          </w:p>
        </w:tc>
        <w:tc>
          <w:tcPr>
            <w:tcW w:type="dxa" w:w="3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Objectif métier</w:t>
            </w:r>
          </w:p>
        </w:tc>
        <w:tc>
          <w:tcPr>
            <w:tcW w:type="dxa" w:w="352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Valeur utilisateur</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Compte</w:t>
            </w:r>
          </w:p>
        </w:tc>
        <w:tc>
          <w:tcPr>
            <w:tcW w:type="dxa" w:w="3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Créer et gérer l'identité numérique</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Accès sécurisé, profil clair, préférences personnelles.</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Entraînement</w:t>
            </w:r>
          </w:p>
        </w:tc>
        <w:tc>
          <w:tcPr>
            <w:tcW w:type="dxa" w:w="3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Définir et diffuser les séances</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Organisation structurée du travail sportif.</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Performance</w:t>
            </w:r>
          </w:p>
        </w:tc>
        <w:tc>
          <w:tcPr>
            <w:tcW w:type="dxa" w:w="3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Enregistrer les résultats</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Historique exploitable et progression visible.</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Collaboration</w:t>
            </w:r>
          </w:p>
        </w:tc>
        <w:tc>
          <w:tcPr>
            <w:tcW w:type="dxa" w:w="3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Relier coach et athlète</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Feedback contextualisé et meilleure adaptation des plans.</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Groupes</w:t>
            </w:r>
          </w:p>
        </w:tc>
        <w:tc>
          <w:tcPr>
            <w:tcW w:type="dxa" w:w="3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Structurer un effectif</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Pilotage plus simple d'un collectif ou d'un club.</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RGPD</w:t>
            </w:r>
          </w:p>
        </w:tc>
        <w:tc>
          <w:tcPr>
            <w:tcW w:type="dxa" w:w="3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Donner le contrôle sur les données</w:t>
            </w:r>
          </w:p>
        </w:tc>
        <w:tc>
          <w:tcPr>
            <w:tcW w:type="dxa" w:w="35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Confiance, transparence et conformité.</w:t>
            </w:r>
          </w:p>
        </w:tc>
      </w:tr>
    </w:tbl>
    <w:p>
      <w:pPr>
        <w:pStyle w:val="Heading1"/>
      </w:pPr>
      <w:r>
        <w:t xml:space="preserve">2. Rôles applicatifs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Rôle</w:t>
            </w:r>
          </w:p>
        </w:tc>
        <w:tc>
          <w:tcPr>
            <w:tcW w:type="dxa" w:w="722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Périmètre</w:t>
            </w:r>
          </w:p>
        </w:tc>
      </w:tr>
      <w:tr>
        <w:tc>
          <w:tcPr>
            <w:tcW w:type="dxa" w:w="1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7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Crée des séances, gère des groupes, affecte des séances, consulte les résultats et suit des indicateurs.</w:t>
            </w:r>
          </w:p>
        </w:tc>
      </w:tr>
      <w:tr>
        <w:tc>
          <w:tcPr>
            <w:tcW w:type="dxa" w:w="1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7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Consulte ses séances, saisit ses performances, suit sa progression, rejoint un groupe et échange avec son coach.</w:t>
            </w:r>
          </w:p>
        </w:tc>
      </w:tr>
      <w:tr>
        <w:tc>
          <w:tcPr>
            <w:tcW w:type="dxa" w:w="1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Système</w:t>
            </w:r>
          </w:p>
        </w:tc>
        <w:tc>
          <w:tcPr>
            <w:tcW w:type="dxa" w:w="72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Assure les notifications, la sécurité, les exports, les suppressions et les traitements planifiés.</w:t>
            </w:r>
          </w:p>
        </w:tc>
      </w:tr>
    </w:tbl>
    <w:p>
      <w:pPr>
        <w:spacing w:after="120" w:line="264"/>
      </w:pPr>
      <w:r>
        <w:t xml:space="preserve">Les rôles sont simples au niveau IAM, mais les droits réels sont raffinés par trois notions supplémentaires : l'appartenance (un coach ne voit que ses athlètes), la propriété (une ressource appartient à son créateur) et le consentement (l'accès du coach aux performances est conditionné). Le détail figure en section 6.</w:t>
      </w:r>
    </w:p>
    <w:p>
      <w:pPr>
        <w:pStyle w:val="Heading1"/>
      </w:pPr>
      <w:r>
        <w:t xml:space="preserve">3. Catalogue fonctionnel détaillé</w:t>
      </w:r>
    </w:p>
    <w:p>
      <w:pPr>
        <w:pStyle w:val="Heading2"/>
      </w:pPr>
      <w:r>
        <w:t xml:space="preserve">3.1 Gestion du compte et du profil</w:t>
      </w:r>
    </w:p>
    <w:p>
      <w:pPr>
        <w:pStyle w:val="ListParagraph"/>
        <w:numPr>
          <w:ilvl w:val="0"/>
          <w:numId w:val="2"/>
        </w:numPr>
        <w:spacing w:after="50" w:line="256"/>
      </w:pPr>
      <w:r>
        <w:t xml:space="preserve">Inscription par email et mot de passe avec choix du rôle lors de l'onboarding.</w:t>
      </w:r>
    </w:p>
    <w:p>
      <w:pPr>
        <w:pStyle w:val="ListParagraph"/>
        <w:numPr>
          <w:ilvl w:val="0"/>
          <w:numId w:val="2"/>
        </w:numPr>
        <w:spacing w:after="50" w:line="256"/>
      </w:pPr>
      <w:r>
        <w:t xml:space="preserve">Connexion sécurisée et renouvellement de session (rotation des jetons), déconnexion sur un ou tous les appareils.</w:t>
      </w:r>
    </w:p>
    <w:p>
      <w:pPr>
        <w:pStyle w:val="ListParagraph"/>
        <w:numPr>
          <w:ilvl w:val="0"/>
          <w:numId w:val="2"/>
        </w:numPr>
        <w:spacing w:after="50" w:line="256"/>
      </w:pPr>
      <w:r>
        <w:t xml:space="preserve">Réinitialisation de mot de passe par email, avec lien à usage unique et expirant.</w:t>
      </w:r>
    </w:p>
    <w:p>
      <w:pPr>
        <w:pStyle w:val="ListParagraph"/>
        <w:numPr>
          <w:ilvl w:val="0"/>
          <w:numId w:val="2"/>
        </w:numPr>
        <w:spacing w:after="50" w:line="256"/>
      </w:pPr>
      <w:r>
        <w:t xml:space="preserve">Édition du profil : nom, prénom, photo, sport, biographie, préférences de notification.</w:t>
      </w:r>
    </w:p>
    <w:p>
      <w:pPr>
        <w:pStyle w:val="ListParagraph"/>
        <w:numPr>
          <w:ilvl w:val="0"/>
          <w:numId w:val="2"/>
        </w:numPr>
        <w:spacing w:after="50" w:line="256"/>
      </w:pPr>
      <w:r>
        <w:t xml:space="preserve">Gestion explicite des consentements et accès aux fonctions d'export et d'effacement.</w:t>
      </w:r>
    </w:p>
    <w:p>
      <w:pPr>
        <w:pStyle w:val="Heading2"/>
      </w:pPr>
      <w:r>
        <w:t xml:space="preserve">3.2 Fonctionnalités coach</w:t>
      </w:r>
    </w:p>
    <w:p>
      <w:pPr>
        <w:pStyle w:val="ListParagraph"/>
        <w:numPr>
          <w:ilvl w:val="0"/>
          <w:numId w:val="2"/>
        </w:numPr>
        <w:spacing w:after="50" w:line="256"/>
      </w:pPr>
      <w:r>
        <w:t xml:space="preserve">Créer, modifier, dupliquer, publier et archiver une séance.</w:t>
      </w:r>
    </w:p>
    <w:p>
      <w:pPr>
        <w:pStyle w:val="ListParagraph"/>
        <w:numPr>
          <w:ilvl w:val="0"/>
          <w:numId w:val="2"/>
        </w:numPr>
        <w:spacing w:after="50" w:line="256"/>
      </w:pPr>
      <w:r>
        <w:t xml:space="preserve">Affecter une séance à un ou plusieurs athlètes liés.</w:t>
      </w:r>
    </w:p>
    <w:p>
      <w:pPr>
        <w:pStyle w:val="ListParagraph"/>
        <w:numPr>
          <w:ilvl w:val="0"/>
          <w:numId w:val="2"/>
        </w:numPr>
        <w:spacing w:after="50" w:line="256"/>
      </w:pPr>
      <w:r>
        <w:t xml:space="preserve">Créer et administrer des groupes : inviter, lister les membres, retirer un athlète, régénérer le code, supprimer le groupe.</w:t>
      </w:r>
    </w:p>
    <w:p>
      <w:pPr>
        <w:pStyle w:val="ListParagraph"/>
        <w:numPr>
          <w:ilvl w:val="0"/>
          <w:numId w:val="2"/>
        </w:numPr>
        <w:spacing w:after="50" w:line="256"/>
      </w:pPr>
      <w:r>
        <w:t xml:space="preserve">Suivre les performances individuelles et consulter un tableau de bord synthétique (sous consentement des athlètes).</w:t>
      </w:r>
    </w:p>
    <w:p>
      <w:pPr>
        <w:pStyle w:val="ListParagraph"/>
        <w:numPr>
          <w:ilvl w:val="0"/>
          <w:numId w:val="2"/>
        </w:numPr>
        <w:spacing w:after="50" w:line="256"/>
      </w:pPr>
      <w:r>
        <w:t xml:space="preserve">Laisser un feedback sur une séance réalisée ou une performance.</w:t>
      </w:r>
    </w:p>
    <w:p>
      <w:pPr>
        <w:spacing w:after="120" w:line="264"/>
      </w:pPr>
      <w:r>
        <w:rPr>
          <w:b/>
          <w:bCs/>
        </w:rPr>
        <w:t xml:space="preserve">Note. </w:t>
      </w:r>
      <w:r>
        <w:t xml:space="preserve">La diffusion d'un « programme » (collection ordonnée de séances) est hors périmètre du MVP et prévue en V2 (cf. TX-ARCH-001, glossaire). Au MVP, le coach affecte des séances individuelles.</w:t>
      </w:r>
    </w:p>
    <w:p>
      <w:pPr>
        <w:pStyle w:val="Heading2"/>
      </w:pPr>
      <w:r>
        <w:t xml:space="preserve">3.3 Fonctionnalités athlète</w:t>
      </w:r>
    </w:p>
    <w:p>
      <w:pPr>
        <w:pStyle w:val="ListParagraph"/>
        <w:numPr>
          <w:ilvl w:val="0"/>
          <w:numId w:val="2"/>
        </w:numPr>
        <w:spacing w:after="50" w:line="256"/>
      </w:pPr>
      <w:r>
        <w:t xml:space="preserve">Consulter les séances à venir et l'historique.</w:t>
      </w:r>
    </w:p>
    <w:p>
      <w:pPr>
        <w:pStyle w:val="ListParagraph"/>
        <w:numPr>
          <w:ilvl w:val="0"/>
          <w:numId w:val="2"/>
        </w:numPr>
        <w:spacing w:after="50" w:line="256"/>
      </w:pPr>
      <w:r>
        <w:t xml:space="preserve">Saisir des performances : temps, charges, répétitions, ressenti (RPE), notes libres — y compris hors ligne.</w:t>
      </w:r>
    </w:p>
    <w:p>
      <w:pPr>
        <w:pStyle w:val="ListParagraph"/>
        <w:numPr>
          <w:ilvl w:val="0"/>
          <w:numId w:val="2"/>
        </w:numPr>
        <w:spacing w:after="50" w:line="256"/>
      </w:pPr>
      <w:r>
        <w:t xml:space="preserve">Corriger une performance de façon tracée.</w:t>
      </w:r>
    </w:p>
    <w:p>
      <w:pPr>
        <w:pStyle w:val="ListParagraph"/>
        <w:numPr>
          <w:ilvl w:val="0"/>
          <w:numId w:val="2"/>
        </w:numPr>
        <w:spacing w:after="50" w:line="256"/>
      </w:pPr>
      <w:r>
        <w:t xml:space="preserve">Visualiser la progression via des courbes et des métriques agrégées.</w:t>
      </w:r>
    </w:p>
    <w:p>
      <w:pPr>
        <w:pStyle w:val="ListParagraph"/>
        <w:numPr>
          <w:ilvl w:val="0"/>
          <w:numId w:val="2"/>
        </w:numPr>
        <w:spacing w:after="50" w:line="256"/>
      </w:pPr>
      <w:r>
        <w:t xml:space="preserve">Rejoindre un groupe par code d'invitation et quitter un groupe.</w:t>
      </w:r>
    </w:p>
    <w:p>
      <w:pPr>
        <w:pStyle w:val="ListParagraph"/>
        <w:numPr>
          <w:ilvl w:val="0"/>
          <w:numId w:val="2"/>
        </w:numPr>
        <w:spacing w:after="50" w:line="256"/>
      </w:pPr>
      <w:r>
        <w:t xml:space="preserve">Gérer le consentement d'accès du coach à ses performances.</w:t>
      </w:r>
    </w:p>
    <w:p>
      <w:pPr>
        <w:pStyle w:val="ListParagraph"/>
        <w:numPr>
          <w:ilvl w:val="0"/>
          <w:numId w:val="2"/>
        </w:numPr>
        <w:spacing w:after="50" w:line="256"/>
      </w:pPr>
      <w:r>
        <w:t xml:space="preserve">Recevoir des notifications liées aux séances et aux retours du coach.</w:t>
      </w:r>
    </w:p>
    <w:p>
      <w:pPr>
        <w:pStyle w:val="Heading2"/>
      </w:pPr>
      <w:r>
        <w:t xml:space="preserve">3.4 Collaboration et communication</w:t>
      </w:r>
    </w:p>
    <w:p>
      <w:pPr>
        <w:pStyle w:val="ListParagraph"/>
        <w:numPr>
          <w:ilvl w:val="0"/>
          <w:numId w:val="2"/>
        </w:numPr>
        <w:spacing w:after="50" w:line="256"/>
      </w:pPr>
      <w:r>
        <w:t xml:space="preserve">Le coach peut commenter une séance ou une performance.</w:t>
      </w:r>
    </w:p>
    <w:p>
      <w:pPr>
        <w:pStyle w:val="ListParagraph"/>
        <w:numPr>
          <w:ilvl w:val="0"/>
          <w:numId w:val="2"/>
        </w:numPr>
        <w:spacing w:after="50" w:line="256"/>
      </w:pPr>
      <w:r>
        <w:t xml:space="preserve">L'athlète peut ajouter des notes de contexte et commenter une séance.</w:t>
      </w:r>
    </w:p>
    <w:p>
      <w:pPr>
        <w:pStyle w:val="ListParagraph"/>
        <w:numPr>
          <w:ilvl w:val="0"/>
          <w:numId w:val="2"/>
        </w:numPr>
        <w:spacing w:after="50" w:line="256"/>
      </w:pPr>
      <w:r>
        <w:t xml:space="preserve">Les commentaires restent rattachés à une séance ou à une performance pour éviter les discussions décontextualisées.</w:t>
      </w:r>
    </w:p>
    <w:p>
      <w:pPr>
        <w:pStyle w:val="Heading1"/>
      </w:pPr>
      <w:r>
        <w:t xml:space="preserve">4. Règles métier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626"/>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Règle</w:t>
            </w:r>
          </w:p>
        </w:tc>
        <w:tc>
          <w:tcPr>
            <w:tcW w:type="dxa" w:w="43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c>
          <w:tcPr>
            <w:tcW w:type="dxa" w:w="362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Impact API / données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RB-01</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Une séance est créée par un seul coach.</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La ressource session référence toujours un owner coach_id.</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RB-02</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Une séance peut être affectée à plusieurs athlètes.</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Table d'association dédiée (session_assignments).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RB-03</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 athlète ne peut saisir une performance que pour une affectation qui lui est attribuée.</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Performance rattachée à assignment_id ; consentement requis.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RB-04</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 groupe appartient à un coach unique.</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Unicité du coach référent par groupe.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RB-05</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Le retrait d'un consentement doit stopper les traitements correspondants.</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Logique métier transverse et jobs de purge ciblée.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RB-06</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L'historique ne doit jamais être modifié sans trace.</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Horodatage et journaux d'audit sur les opérations sensibles.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RB-07</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L'accès d'un coach à un athlète exige un lien actif.</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Toute lecture/écriture inter-utilisateurs vérifie coach_athlete_links.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RB-08</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L'accès du coach aux performances exige le consentement « accès coach » actif.</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Condition d'autorisation, pas seulement une option d'UI.</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RB-09</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Une affectation porte au plus une performance.</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Contrainte d'unicité (assignment_id) ; correction tracée.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RB-10</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Les écritures sensibles sont idempotentes.</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En-tête Idempotency-Key sur performance et affectation.</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RB-11</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Les opérations longues sont asynchrones.</w:t>
            </w:r>
          </w:p>
        </w:tc>
        <w:tc>
          <w:tcPr>
            <w:tcW w:type="dxa" w:w="36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Export et suppression : 202 Accepted + ressource de statut.</w:t>
            </w:r>
          </w:p>
        </w:tc>
      </w:tr>
    </w:tbl>
    <w:p>
      <w:pPr>
        <w:pStyle w:val="Heading1"/>
      </w:pPr>
      <w:r>
        <w:t xml:space="preserve">5. Modèle fonctionnel des séances et des affectations</w:t>
      </w:r>
    </w:p>
    <w:p>
      <w:pPr>
        <w:spacing w:after="120" w:line="264"/>
      </w:pPr>
      <w:r>
        <w:t xml:space="preserve">Le cycle de vie distingue l'état d'une séance (porté par la séance) de l'avancement d'une affectation (porté par chaque affectation), conformément à TX-DATA-006.</w:t>
      </w:r>
    </w:p>
    <w:p>
      <w:pPr>
        <w:pStyle w:val="Heading2"/>
      </w:pPr>
      <w:r>
        <w:t xml:space="preserve">5.1 État d'une séance</w:t>
      </w:r>
    </w:p>
    <w:p>
      <w:pPr>
        <w:spacing w:after="120" w:line="264"/>
      </w:pPr>
      <w:r>
        <w:t xml:space="preserve">Statut de la ressource session : draft, published, archived.</w:t>
      </w:r>
    </w:p>
    <w:p>
      <w:pPr>
        <w:pStyle w:val="ListParagraph"/>
        <w:numPr>
          <w:ilvl w:val="0"/>
          <w:numId w:val="2"/>
        </w:numPr>
        <w:spacing w:after="50" w:line="256"/>
      </w:pPr>
      <w:r>
        <w:t xml:space="preserve">draft (brouillon) : la séance n'est pas encore visible par les athlètes.</w:t>
      </w:r>
    </w:p>
    <w:p>
      <w:pPr>
        <w:pStyle w:val="ListParagraph"/>
        <w:numPr>
          <w:ilvl w:val="0"/>
          <w:numId w:val="2"/>
        </w:numPr>
        <w:spacing w:after="50" w:line="256"/>
      </w:pPr>
      <w:r>
        <w:t xml:space="preserve">published (publiée) : la séance est prête à être affectée.</w:t>
      </w:r>
    </w:p>
    <w:p>
      <w:pPr>
        <w:pStyle w:val="ListParagraph"/>
        <w:numPr>
          <w:ilvl w:val="0"/>
          <w:numId w:val="2"/>
        </w:numPr>
        <w:spacing w:after="50" w:line="256"/>
      </w:pPr>
      <w:r>
        <w:t xml:space="preserve">archived (archivée) : la séance reste consultable mais n'est plus active dans le planning.</w:t>
      </w:r>
    </w:p>
    <w:p>
      <w:pPr>
        <w:pStyle w:val="Heading2"/>
      </w:pPr>
      <w:r>
        <w:t xml:space="preserve">5.2 Avancement d'une affectation</w:t>
      </w:r>
    </w:p>
    <w:p>
      <w:pPr>
        <w:spacing w:after="120" w:line="264"/>
      </w:pPr>
      <w:r>
        <w:t xml:space="preserve">Statut de la ressource session_assignment : assigned, in_progress, completed, skipped. Les notions « assignée » et « réalisée » relèvent de l'affectation, pas de la séance : une même séance peut être réalisée par un athlète et non commencée par un autre.</w:t>
      </w:r>
    </w:p>
    <w:p>
      <w:pPr>
        <w:spacing w:after="120" w:line="264"/>
      </w:pPr>
      <w:r>
        <w:t xml:space="preserve">Les transitions d'état sont déterministes et sans effet de bord implicite : publier une séance ne l'affecte pas automatiquement ; affecter ne change pas le statut de la séance.</w:t>
      </w:r>
    </w:p>
    <w:p>
      <w:pPr>
        <w:pStyle w:val="Heading1"/>
      </w:pPr>
      <w:r>
        <w:t xml:space="preserve">6. Modèle d'autorisation et matrice de droits</w:t>
      </w:r>
    </w:p>
    <w:p>
      <w:pPr>
        <w:spacing w:after="120" w:line="264"/>
      </w:pPr>
      <w:r>
        <w:t xml:space="preserve">L'autorisation combine quatre niveaux, tous appliqués côté serveur via des guards : rôle (RBAC), appartenance (lien coach↔athlète actif), propriété (ownership) et consentement. Le modèle complet figure dans TX-ARCH-001 §9 ; la matrice ci-dessous fait foi pour les contrôles d'accès des ressources d'API et sert de base aux tests d'autorisation.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1500"/>
        <w:gridCol w:w="4476"/>
      </w:tblGrid>
      <w:tr>
        <w:trPr>
          <w:tblHeader/>
        </w:trPr>
        <w:tc>
          <w:tcPr>
            <w:tcW w:type="dxa" w:w="30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Ressource · action</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Rôle</w:t>
            </w:r>
          </w:p>
        </w:tc>
        <w:tc>
          <w:tcPr>
            <w:tcW w:type="dxa" w:w="447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Condition supplémentaire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auth.register / login / refresh</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Public</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auth.logout / logout-all</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Propriétaire de la session</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users.me (lire / modifier)</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Propriétaire du compte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users.me.consents (lire / modifier)</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Propriétaire du compte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users.me.export / delete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Propriétaire du compte (asynchrone)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sessions.create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sessions.list</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 ses séances ; athlète : ses affectations</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sessions.read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propriétaire OU athlète affecté</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sessions.update / delete / duplicate / archive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session.coach_id = utilisateur (ownership)</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sessions.assign</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Ownership de la séance ET athlète(s) lié(s)</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assignments.list</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Ses propres affectations</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performances.create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Affectation lui appartient ET consentement de traitement actif</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performances.read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 propriétaire OU coach lié + consentement « accès coach »</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performances.update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Propriétaire de la performance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comments.create / list</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Partie liée à la séance ou à la performance ciblée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athletes.:id.stats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 lié ET consentement « accès coach » actif</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athletes.me.progress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Soi-même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groups.* (hors join / leave)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group.coach_id = utilisateur (ownership)</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groups.join</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Code d'invitation valide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groups.leave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Membre actif du groupe</w:t>
            </w:r>
          </w:p>
        </w:tc>
      </w:tr>
      <w:tr>
        <w:tc>
          <w:tcPr>
            <w:tcW w:type="dxa" w:w="30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notifications.devices / preferences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Authentifié</w:t>
            </w:r>
          </w:p>
        </w:tc>
        <w:tc>
          <w:tcPr>
            <w:tcW w:type="dxa" w:w="447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Propriétaire du compte</w:t>
            </w:r>
          </w:p>
        </w:tc>
      </w:tr>
    </w:tbl>
    <w:p>
      <w:pPr>
        <w:pStyle w:val="Heading1"/>
      </w:pPr>
      <w:r>
        <w:t xml:space="preserve">7. Conventions de conception REST</w:t>
      </w:r>
    </w:p>
    <w:p>
      <w:pPr>
        <w:pStyle w:val="ListParagraph"/>
        <w:numPr>
          <w:ilvl w:val="0"/>
          <w:numId w:val="2"/>
        </w:numPr>
        <w:spacing w:after="50" w:line="256"/>
      </w:pPr>
      <w:r>
        <w:t xml:space="preserve">Préfixe versionné : /api/v1.</w:t>
      </w:r>
    </w:p>
    <w:p>
      <w:pPr>
        <w:pStyle w:val="ListParagraph"/>
        <w:numPr>
          <w:ilvl w:val="0"/>
          <w:numId w:val="2"/>
        </w:numPr>
        <w:spacing w:after="50" w:line="256"/>
      </w:pPr>
      <w:r>
        <w:t xml:space="preserve">Ressources nommées au pluriel : /sessions, /groups, /users.</w:t>
      </w:r>
    </w:p>
    <w:p>
      <w:pPr>
        <w:pStyle w:val="ListParagraph"/>
        <w:numPr>
          <w:ilvl w:val="0"/>
          <w:numId w:val="2"/>
        </w:numPr>
        <w:spacing w:after="50" w:line="256"/>
      </w:pPr>
      <w:r>
        <w:t xml:space="preserve">Authentification par en-tête Authorization: Bearer &lt;accessToken&gt;.</w:t>
      </w:r>
    </w:p>
    <w:p>
      <w:pPr>
        <w:pStyle w:val="ListParagraph"/>
        <w:numPr>
          <w:ilvl w:val="0"/>
          <w:numId w:val="2"/>
        </w:numPr>
        <w:spacing w:after="50" w:line="256"/>
      </w:pPr>
      <w:r>
        <w:t xml:space="preserve">Listes : paramètres page, limit, sort, et filtres search, status, from, to.</w:t>
      </w:r>
    </w:p>
    <w:p>
      <w:pPr>
        <w:pStyle w:val="ListParagraph"/>
        <w:numPr>
          <w:ilvl w:val="0"/>
          <w:numId w:val="2"/>
        </w:numPr>
        <w:spacing w:after="50" w:line="256"/>
      </w:pPr>
      <w:r>
        <w:t xml:space="preserve">Enveloppe de liste standard : { data: [...], meta: { total, page, limit, hasNext } }.</w:t>
      </w:r>
    </w:p>
    <w:p>
      <w:pPr>
        <w:pStyle w:val="ListParagraph"/>
        <w:numPr>
          <w:ilvl w:val="0"/>
          <w:numId w:val="2"/>
        </w:numPr>
        <w:spacing w:after="50" w:line="256"/>
      </w:pPr>
      <w:r>
        <w:t xml:space="preserve">Idempotence : en-tête Idempotency-Key sur les POST d'écriture sensibles (performance, affectation) ; rejouer la même clé renvoie le résultat initial.</w:t>
      </w:r>
    </w:p>
    <w:p>
      <w:pPr>
        <w:pStyle w:val="ListParagraph"/>
        <w:numPr>
          <w:ilvl w:val="0"/>
          <w:numId w:val="2"/>
        </w:numPr>
        <w:spacing w:after="50" w:line="256"/>
      </w:pPr>
      <w:r>
        <w:t xml:space="preserve">Opérations longues : réponse 202 Accepted avec un identifiant de tâche et une ressource de statut (export, suppression).</w:t>
      </w:r>
    </w:p>
    <w:p>
      <w:pPr>
        <w:pStyle w:val="ListParagraph"/>
        <w:numPr>
          <w:ilvl w:val="0"/>
          <w:numId w:val="2"/>
        </w:numPr>
        <w:spacing w:after="50" w:line="256"/>
      </w:pPr>
      <w:r>
        <w:t xml:space="preserve">Rate limiting : réponse 429 avec en-têtes Retry-After et RateLimit-Limit / RateLimit-Remaining / RateLimit-Reset.</w:t>
      </w:r>
    </w:p>
    <w:p>
      <w:pPr>
        <w:pStyle w:val="ListParagraph"/>
        <w:numPr>
          <w:ilvl w:val="0"/>
          <w:numId w:val="2"/>
        </w:numPr>
        <w:spacing w:after="50" w:line="256"/>
      </w:pPr>
      <w:r>
        <w:t xml:space="preserve">Réponses JSON cohérentes ; horodatages en ISO 8601 UTC.</w:t>
      </w:r>
    </w:p>
    <w:p>
      <w:pPr>
        <w:pStyle w:val="ListParagraph"/>
        <w:numPr>
          <w:ilvl w:val="0"/>
          <w:numId w:val="2"/>
        </w:numPr>
        <w:spacing w:after="50" w:line="256"/>
      </w:pPr>
      <w:r>
        <w:t xml:space="preserve">Statuts HTTP : 200, 201, 202, 204, 400, 401, 403, 404, 409, 422, 429, 500.</w:t>
      </w:r>
    </w:p>
    <w:p>
      <w:pPr>
        <w:pStyle w:val="ListParagraph"/>
        <w:numPr>
          <w:ilvl w:val="0"/>
          <w:numId w:val="2"/>
        </w:numPr>
        <w:spacing w:after="50" w:line="256"/>
      </w:pPr>
      <w:r>
        <w:t xml:space="preserve">Aucune logique d'autorisation dans le nommage client ; toute décision d'accès est revalidée côté serveur.</w:t>
      </w:r>
    </w:p>
    <w:p>
      <w:pPr>
        <w:pStyle w:val="Heading1"/>
      </w:pPr>
      <w:r>
        <w:t xml:space="preserve">8. Catalogue des ressources API</w:t>
      </w:r>
    </w:p>
    <w:p>
      <w:pPr>
        <w:spacing w:after="120" w:line="264"/>
      </w:pPr>
      <w:r>
        <w:t xml:space="preserve">Le catalogue couvre l'intégralité du catalogue fonctionnel (section 3). Les accès indiqués résument la matrice de la section 6.</w:t>
      </w:r>
    </w:p>
    <w:p>
      <w:pPr>
        <w:pStyle w:val="Heading2"/>
      </w:pPr>
      <w:r>
        <w:t xml:space="preserve">8.1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/api/v1/auth/register</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Public</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Créer un compte (rôle au choix).</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/api/v1/auth/login</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Public</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Authentifier et délivrer access + refresh.</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/api/v1/auth/refresh</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Public</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Renouveler la session ; rotation et détection de réutilisation.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/api/v1/auth/logout</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Révoquer le refresh token courant.</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/api/v1/auth/logout-all</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Révoquer toutes les sessions de l'utilisateur.</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/api/v1/auth/forgot-password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Public</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Déclencher la réinitialisation (réponse neutre).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/api/v1/auth/reset-password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Public</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Réinitialiser via token à usage unique et expirant.</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/api/v1/auth/2fa/enable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Activer la 2FA TOTP (V2).</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/api/v1/auth/2fa/verify</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Vérifier un code 2FA.</w:t>
            </w:r>
          </w:p>
        </w:tc>
      </w:tr>
    </w:tbl>
    <w:p>
      <w:pPr>
        <w:pStyle w:val="Heading2"/>
      </w:pPr>
      <w:r>
        <w:t xml:space="preserve">8.2 Profil et RGPD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Récupérer le profil courant.</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PUT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Mettre à jour le profil courant.</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/api/v1/users/me/consents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Lister l'état des consentements.</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PUT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/api/v1/users/me/consents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Donner ou retirer un consentement (versionné, horodaté).</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/api/v1/users/me/export</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Demander un export (asynchrone, 202 + jobId).</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/api/v1/users/me/export/:jobId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Statut et lien de téléchargement de l'export.</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DELETE</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/api/v1/users/me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Demander la suppression du compte (asynchrone, 202).</w:t>
            </w:r>
          </w:p>
        </w:tc>
      </w:tr>
    </w:tbl>
    <w:p>
      <w:pPr>
        <w:pStyle w:val="Heading2"/>
      </w:pPr>
      <w:r>
        <w:t xml:space="preserve">8.3 Groupes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Créer un groupe.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Lister ses groupes.</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Détail d'un groupe.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PUT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Modifier un groupe.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DELETE</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Supprimer (logique) un groupe.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/api/v1/groups/:id/members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Lister les membres du groupe.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DELETE</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/api/v1/groups/:id/members/:athleteId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Retirer un athlète du groupe.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/api/v1/groups/:id/invite-code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Régénérer ou révoquer le code d'invitation.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/api/v1/groups/join</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Rejoindre un groupe via code.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/api/v1/groups/:id/leave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Quitter un groupe.</w:t>
            </w:r>
          </w:p>
        </w:tc>
      </w:tr>
    </w:tbl>
    <w:p>
      <w:pPr>
        <w:pStyle w:val="Heading2"/>
      </w:pPr>
      <w:r>
        <w:t xml:space="preserve">8.4 Séances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Créer une séance d'entraînement.</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Lister (coach : ses séances ; athlète : affectées).</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Lire une séance autorisée.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PUT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Modifier une séance.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DELETE</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Supprimer (logique) une séance.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/api/v1/sessions/:id/duplicate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Dupliquer une séance.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/api/v1/sessions/:id/archive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Archiver une séance.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/api/v1/sessions/:id/assign</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 (owner)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Affecter à un ou plusieurs athlètes (Idempotency-Key).</w:t>
            </w:r>
          </w:p>
        </w:tc>
      </w:tr>
    </w:tbl>
    <w:p>
      <w:pPr>
        <w:pStyle w:val="Heading2"/>
      </w:pPr>
      <w:r>
        <w:t xml:space="preserve">8.5 Affectations et performances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/api/v1/assignments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Lister ses affectations.</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/api/v1/assignments/:id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Détail d'une affectation autorisée.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/api/v1/assignments/:id/performance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Soumettre la performance (Idempotency-Key ; consentement requis).</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/api/v1/assignments/:id/performance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Lire la performance (athlète ou coach autorisé).</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PUT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/api/v1/assignments/:id/performance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Corriger la performance (tracé).</w:t>
            </w:r>
          </w:p>
        </w:tc>
      </w:tr>
    </w:tbl>
    <w:p>
      <w:pPr>
        <w:pStyle w:val="Heading2"/>
      </w:pPr>
      <w:r>
        <w:t xml:space="preserve">8.6 Collaboration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/api/v1/comments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 (lié)</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Commenter une séance ou une performance.</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/api/v1/comments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 (lié)</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Lister les commentaires d'une cible (filtre session_id / performance_id).</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DELETE</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/api/v1/comments/:id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Auteur</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Supprimer son commentaire.</w:t>
            </w:r>
          </w:p>
        </w:tc>
      </w:tr>
    </w:tbl>
    <w:p>
      <w:pPr>
        <w:pStyle w:val="Heading2"/>
      </w:pPr>
      <w:r>
        <w:t xml:space="preserve">8.7 Progression et tableau de bord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/api/v1/athletes/me/progress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Athlète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Consulter sa propre progression.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/api/v1/athletes/:id/stats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Statistiques d'un athlète lié (consentement requis).</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/api/v1/coach/dashboard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Coach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Vue d'ensemble de ses athlètes.</w:t>
            </w:r>
          </w:p>
        </w:tc>
      </w:tr>
    </w:tbl>
    <w:p>
      <w:pPr>
        <w:pStyle w:val="Heading2"/>
      </w:pPr>
      <w:r>
        <w:t xml:space="preserve">8.8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POST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/api/v1/notifications/devices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Enregistrer un device token (apns / fcm).</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DELETE</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/api/v1/notifications/devices/:id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Révoquer un device token (déconnexion).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/api/v1/notifications/preferences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Lire les préférences de notification.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PUT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/api/v1/notifications/preferences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Auth</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Mettre à jour les préférences.</w:t>
            </w:r>
          </w:p>
        </w:tc>
      </w:tr>
    </w:tbl>
    <w:p>
      <w:pPr>
        <w:pStyle w:val="Heading2"/>
      </w:pPr>
      <w:r>
        <w:t xml:space="preserve">8.9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0"/>
        <w:gridCol w:w="3350"/>
        <w:gridCol w:w="1500"/>
        <w:gridCol w:w="2936"/>
      </w:tblGrid>
      <w:tr>
        <w:trPr>
          <w:tblHeader/>
        </w:trPr>
        <w:tc>
          <w:tcPr>
            <w:tcW w:type="dxa" w:w="124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Méthode</w:t>
            </w:r>
          </w:p>
        </w:tc>
        <w:tc>
          <w:tcPr>
            <w:tcW w:type="dxa" w:w="3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Endpoint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Accès</w:t>
            </w:r>
          </w:p>
        </w:tc>
        <w:tc>
          <w:tcPr>
            <w:tcW w:type="dxa" w:w="293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Description</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/api/v1/health</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Interne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Liveness (le service répond).</w:t>
            </w:r>
          </w:p>
        </w:tc>
      </w:tr>
      <w:tr>
        <w:tc>
          <w:tcPr>
            <w:tcW w:type="dxa" w:w="124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GET</w:t>
            </w:r>
          </w:p>
        </w:tc>
        <w:tc>
          <w:tcPr>
            <w:tcW w:type="dxa" w:w="335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rFonts w:ascii="Courier New" w:cs="Courier New" w:eastAsia="Courier New" w:hAnsi="Courier New"/>
                <w:b w:val="false"/>
                <w:bCs w:val="false"/>
                <w:sz w:val="17"/>
                <w:szCs w:val="17"/>
              </w:rPr>
              <w:t xml:space="preserve">/api/v1/ready</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Interne</w:t>
            </w:r>
          </w:p>
        </w:tc>
        <w:tc>
          <w:tcPr>
            <w:tcW w:type="dxa" w:w="293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Readiness (dépendances disponibles).</w:t>
            </w:r>
          </w:p>
        </w:tc>
      </w:tr>
    </w:tbl>
    <w:p>
      <w:pPr>
        <w:pStyle w:val="Heading1"/>
      </w:pPr>
      <w:r>
        <w:t xml:space="preserve">9. Formats d'échange recommandés</w:t>
      </w:r>
    </w:p>
    <w:p>
      <w:pPr>
        <w:pStyle w:val="Heading2"/>
      </w:pPr>
      <w:r>
        <w:t xml:space="preserve">9.1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POST /api/v1/auth/login</w:t>
            </w:r>
          </w:p>
          <w:p>
            <w:pPr>
              <w:spacing w:after="0" w:line="230"/>
            </w:pPr>
            <w:r>
              <w:rPr>
                <w:rFonts w:ascii="Courier New" w:cs="Courier New" w:eastAsia="Courier New" w:hAnsi="Courier New"/>
                <w:sz w:val="16"/>
                <w:szCs w:val="16"/>
              </w:rPr>
              <w:t xml:space="preserve">{ "email": "coach@example.com", "password": "SecureP@ss123"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200 OK</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"accessToken": "jwt",</w:t>
            </w:r>
          </w:p>
          <w:p>
            <w:pPr>
              <w:spacing w:after="0" w:line="230"/>
            </w:pPr>
            <w:r>
              <w:rPr>
                <w:rFonts w:ascii="Courier New" w:cs="Courier New" w:eastAsia="Courier New" w:hAnsi="Courier New"/>
                <w:sz w:val="16"/>
                <w:szCs w:val="16"/>
              </w:rPr>
              <w:t xml:space="preserve">  "refreshToken": "opaque-token",</w:t>
            </w:r>
          </w:p>
          <w:p>
            <w:pPr>
              <w:spacing w:after="0" w:line="230"/>
            </w:pPr>
            <w:r>
              <w:rPr>
                <w:rFonts w:ascii="Courier New" w:cs="Courier New" w:eastAsia="Courier New" w:hAnsi="Courier New"/>
                <w:sz w:val="16"/>
                <w:szCs w:val="16"/>
              </w:rPr>
              <w:t xml:space="preserve">  "expiresIn": 900,</w:t>
            </w:r>
          </w:p>
          <w:p>
            <w:pPr>
              <w:spacing w:after="0" w:line="230"/>
            </w:pPr>
            <w:r>
              <w:rPr>
                <w:rFonts w:ascii="Courier New" w:cs="Courier New" w:eastAsia="Courier New" w:hAnsi="Courier New"/>
                <w:sz w:val="16"/>
                <w:szCs w:val="16"/>
              </w:rPr>
              <w:t xml:space="preserve">  "user": { "id": "uuid", "email": "coach@example.com", "role": "coach" }</w:t>
            </w:r>
          </w:p>
          <w:p>
            <w:pPr>
              <w:spacing w:after="0" w:line="230"/>
            </w:pPr>
            <w:r>
              <w:rPr>
                <w:rFonts w:ascii="Courier New" w:cs="Courier New" w:eastAsia="Courier New" w:hAnsi="Courier New"/>
                <w:sz w:val="16"/>
                <w:szCs w:val="16"/>
              </w:rPr>
              <w:t xml:space="preserve">}</w:t>
            </w:r>
          </w:p>
        </w:tc>
      </w:tr>
    </w:tbl>
    <w:p>
      <w:pPr>
        <w:pStyle w:val="Heading2"/>
      </w:pPr>
      <w:r>
        <w:t xml:space="preserve">9.2 Renouvellement de session (rotation)</w:t>
      </w:r>
    </w:p>
    <w:p>
      <w:pPr>
        <w:spacing w:after="120" w:line="264"/>
      </w:pPr>
      <w:r>
        <w:t xml:space="preserve">Le refresh token est à usage unique. La réponse fournit un nouveau couple. La réutilisation d'un jeton déjà consommé invalide toute la famille (vol présumé).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POST /api/v1/auth/refresh</w:t>
            </w:r>
          </w:p>
          <w:p>
            <w:pPr>
              <w:spacing w:after="0" w:line="230"/>
            </w:pPr>
            <w:r>
              <w:rPr>
                <w:rFonts w:ascii="Courier New" w:cs="Courier New" w:eastAsia="Courier New" w:hAnsi="Courier New"/>
                <w:sz w:val="16"/>
                <w:szCs w:val="16"/>
              </w:rPr>
              <w:t xml:space="preserve">{ "refreshToken": "opaque-token"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200 OK</w:t>
            </w:r>
          </w:p>
          <w:p>
            <w:pPr>
              <w:spacing w:after="0" w:line="230"/>
            </w:pPr>
            <w:r>
              <w:rPr>
                <w:rFonts w:ascii="Courier New" w:cs="Courier New" w:eastAsia="Courier New" w:hAnsi="Courier New"/>
                <w:sz w:val="16"/>
                <w:szCs w:val="16"/>
              </w:rPr>
              <w:t xml:space="preserve">{ "accessToken": "new-jwt", "refreshToken": "new-opaque-token", "expiresIn": 900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409 CONFLICT  (réutilisation détectée → famille révoquée)</w:t>
            </w:r>
          </w:p>
          <w:p>
            <w:pPr>
              <w:spacing w:after="0" w:line="230"/>
            </w:pPr>
            <w:r>
              <w:rPr>
                <w:rFonts w:ascii="Courier New" w:cs="Courier New" w:eastAsia="Courier New" w:hAnsi="Courier New"/>
                <w:sz w:val="16"/>
                <w:szCs w:val="16"/>
              </w:rPr>
              <w:t xml:space="preserve">{ "statusCode": 409, "error": "TOKEN_REUSE_DETECTED", "message": "Session invalidated" }</w:t>
            </w:r>
          </w:p>
        </w:tc>
      </w:tr>
    </w:tbl>
    <w:p>
      <w:pPr>
        <w:pStyle w:val="Heading2"/>
      </w:pPr>
      <w:r>
        <w:t xml:space="preserve">9.3 Mise à jour d'un consentement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PUT /api/v1/users/me/consents</w:t>
            </w:r>
          </w:p>
          <w:p>
            <w:pPr>
              <w:spacing w:after="0" w:line="230"/>
            </w:pPr>
            <w:r>
              <w:rPr>
                <w:rFonts w:ascii="Courier New" w:cs="Courier New" w:eastAsia="Courier New" w:hAnsi="Courier New"/>
                <w:sz w:val="16"/>
                <w:szCs w:val="16"/>
              </w:rPr>
              <w:t xml:space="preserve">Authorization: Bearer &lt;accessToken&gt;</w:t>
            </w:r>
          </w:p>
          <w:p>
            <w:pPr>
              <w:spacing w:after="0" w:line="230"/>
            </w:pPr>
            <w:r>
              <w:rPr>
                <w:rFonts w:ascii="Courier New" w:cs="Courier New" w:eastAsia="Courier New" w:hAnsi="Courier New"/>
                <w:sz w:val="16"/>
                <w:szCs w:val="16"/>
              </w:rPr>
              <w:t xml:space="preserve">{ "type": "coach_access", "granted": false, "textVersion": "2026-01"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200 OK</w:t>
            </w:r>
          </w:p>
          <w:p>
            <w:pPr>
              <w:spacing w:after="0" w:line="230"/>
            </w:pPr>
            <w:r>
              <w:rPr>
                <w:rFonts w:ascii="Courier New" w:cs="Courier New" w:eastAsia="Courier New" w:hAnsi="Courier New"/>
                <w:sz w:val="16"/>
                <w:szCs w:val="16"/>
              </w:rPr>
              <w:t xml:space="preserve">{ "type": "coach_access", "granted": false, "updatedAt": "2026-06-04T10:00:00Z" }</w:t>
            </w:r>
          </w:p>
        </w:tc>
      </w:tr>
    </w:tbl>
    <w:p>
      <w:pPr>
        <w:pStyle w:val="Heading2"/>
      </w:pPr>
      <w:r>
        <w:t xml:space="preserve">9.4 Création d'une séance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POST /api/v1/sessions</w:t>
            </w:r>
          </w:p>
          <w:p>
            <w:pPr>
              <w:spacing w:after="0" w:line="230"/>
            </w:pPr>
            <w:r>
              <w:rPr>
                <w:rFonts w:ascii="Courier New" w:cs="Courier New" w:eastAsia="Courier New" w:hAnsi="Courier New"/>
                <w:sz w:val="16"/>
                <w:szCs w:val="16"/>
              </w:rPr>
              <w:t xml:space="preserve">Authorization: Bearer &lt;accessToken&gt;</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"title": "Force haut du corps A",</w:t>
            </w:r>
          </w:p>
          <w:p>
            <w:pPr>
              <w:spacing w:after="0" w:line="230"/>
            </w:pPr>
            <w:r>
              <w:rPr>
                <w:rFonts w:ascii="Courier New" w:cs="Courier New" w:eastAsia="Courier New" w:hAnsi="Courier New"/>
                <w:sz w:val="16"/>
                <w:szCs w:val="16"/>
              </w:rPr>
              <w:t xml:space="preserve">  "description": "Focus sur les poussées",</w:t>
            </w:r>
          </w:p>
          <w:p>
            <w:pPr>
              <w:spacing w:after="0" w:line="230"/>
            </w:pPr>
            <w:r>
              <w:rPr>
                <w:rFonts w:ascii="Courier New" w:cs="Courier New" w:eastAsia="Courier New" w:hAnsi="Courier New"/>
                <w:sz w:val="16"/>
                <w:szCs w:val="16"/>
              </w:rPr>
              <w:t xml:space="preserve">  "scheduledDate": "2026-04-15",</w:t>
            </w:r>
          </w:p>
          <w:p>
            <w:pPr>
              <w:spacing w:after="0" w:line="230"/>
            </w:pPr>
            <w:r>
              <w:rPr>
                <w:rFonts w:ascii="Courier New" w:cs="Courier New" w:eastAsia="Courier New" w:hAnsi="Courier New"/>
                <w:sz w:val="16"/>
                <w:szCs w:val="16"/>
              </w:rPr>
              <w:t xml:space="preserve">  "exercises": {</w:t>
            </w:r>
          </w:p>
          <w:p>
            <w:pPr>
              <w:spacing w:after="0" w:line="230"/>
            </w:pPr>
            <w:r>
              <w:rPr>
                <w:rFonts w:ascii="Courier New" w:cs="Courier New" w:eastAsia="Courier New" w:hAnsi="Courier New"/>
                <w:sz w:val="16"/>
                <w:szCs w:val="16"/>
              </w:rPr>
              <w:t xml:space="preserve">    "items": [</w:t>
            </w:r>
          </w:p>
          <w:p>
            <w:pPr>
              <w:spacing w:after="0" w:line="230"/>
            </w:pPr>
            <w:r>
              <w:rPr>
                <w:rFonts w:ascii="Courier New" w:cs="Courier New" w:eastAsia="Courier New" w:hAnsi="Courier New"/>
                <w:sz w:val="16"/>
                <w:szCs w:val="16"/>
              </w:rPr>
              <w:t xml:space="preserve">      { "name": "Développé couché", "order": 1, "sets": 4, "reps": 8,</w:t>
            </w:r>
          </w:p>
          <w:p>
            <w:pPr>
              <w:spacing w:after="0" w:line="230"/>
            </w:pPr>
            <w:r>
              <w:rPr>
                <w:rFonts w:ascii="Courier New" w:cs="Courier New" w:eastAsia="Courier New" w:hAnsi="Courier New"/>
                <w:sz w:val="16"/>
                <w:szCs w:val="16"/>
              </w:rPr>
              <w:t xml:space="preserve">        "restSeconds": 120, "notes": "RPE 7-8" },</w:t>
            </w:r>
          </w:p>
          <w:p>
            <w:pPr>
              <w:spacing w:after="0" w:line="230"/>
            </w:pPr>
            <w:r>
              <w:rPr>
                <w:rFonts w:ascii="Courier New" w:cs="Courier New" w:eastAsia="Courier New" w:hAnsi="Courier New"/>
                <w:sz w:val="16"/>
                <w:szCs w:val="16"/>
              </w:rPr>
              <w:t xml:space="preserve">      { "name": "Développé militaire", "order": 2, "sets": 3, "reps": 10,</w:t>
            </w:r>
          </w:p>
          <w:p>
            <w:pPr>
              <w:spacing w:after="0" w:line="230"/>
            </w:pPr>
            <w:r>
              <w:rPr>
                <w:rFonts w:ascii="Courier New" w:cs="Courier New" w:eastAsia="Courier New" w:hAnsi="Courier New"/>
                <w:sz w:val="16"/>
                <w:szCs w:val="16"/>
              </w:rPr>
              <w:t xml:space="preserve">        "restSeconds": 90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201 Created</w:t>
            </w:r>
          </w:p>
          <w:p>
            <w:pPr>
              <w:spacing w:after="0" w:line="230"/>
            </w:pPr>
            <w:r>
              <w:rPr>
                <w:rFonts w:ascii="Courier New" w:cs="Courier New" w:eastAsia="Courier New" w:hAnsi="Courier New"/>
                <w:sz w:val="16"/>
                <w:szCs w:val="16"/>
              </w:rPr>
              <w:t xml:space="preserve">{ "id": "session-uuid", "title": "Force haut du corps A", "status": "draft",</w:t>
            </w:r>
          </w:p>
          <w:p>
            <w:pPr>
              <w:spacing w:after="0" w:line="230"/>
            </w:pPr>
            <w:r>
              <w:rPr>
                <w:rFonts w:ascii="Courier New" w:cs="Courier New" w:eastAsia="Courier New" w:hAnsi="Courier New"/>
                <w:sz w:val="16"/>
                <w:szCs w:val="16"/>
              </w:rPr>
              <w:t xml:space="preserve">  "scheduledDate": "2026-04-15", "createdAt": "2026-06-04T10:30:00Z" }</w:t>
            </w:r>
          </w:p>
        </w:tc>
      </w:tr>
    </w:tbl>
    <w:p>
      <w:pPr>
        <w:pStyle w:val="Heading2"/>
      </w:pPr>
      <w:r>
        <w:t xml:space="preserve">9.5 Soumission d'une performance (idempotente)</w:t>
      </w:r>
    </w:p>
    <w:p>
      <w:pPr>
        <w:spacing w:after="120" w:line="264"/>
      </w:pPr>
      <w:r>
        <w:t xml:space="preserve">La performance est rattachée à l'affectation. L'en-tête Idempotency-Key absorbe les reprises réseau côté mobile (saisie hors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POST /api/v1/assignments/{assignmentId}/performance</w:t>
            </w:r>
          </w:p>
          <w:p>
            <w:pPr>
              <w:spacing w:after="0" w:line="230"/>
            </w:pPr>
            <w:r>
              <w:rPr>
                <w:rFonts w:ascii="Courier New" w:cs="Courier New" w:eastAsia="Courier New" w:hAnsi="Courier New"/>
                <w:sz w:val="16"/>
                <w:szCs w:val="16"/>
              </w:rPr>
              <w:t xml:space="preserve">Authorization: Bearer &lt;accessToken&gt;</w:t>
            </w:r>
          </w:p>
          <w:p>
            <w:pPr>
              <w:spacing w:after="0" w:line="230"/>
            </w:pPr>
            <w:r>
              <w:rPr>
                <w:rFonts w:ascii="Courier New" w:cs="Courier New" w:eastAsia="Courier New" w:hAnsi="Courier New"/>
                <w:sz w:val="16"/>
                <w:szCs w:val="16"/>
              </w:rPr>
              <w:t xml:space="preserve">Idempotency-Key: 7b1f0c2e-...-client-generated</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"results": {</w:t>
            </w:r>
          </w:p>
          <w:p>
            <w:pPr>
              <w:spacing w:after="0" w:line="230"/>
            </w:pPr>
            <w:r>
              <w:rPr>
                <w:rFonts w:ascii="Courier New" w:cs="Courier New" w:eastAsia="Courier New" w:hAnsi="Courier New"/>
                <w:sz w:val="16"/>
                <w:szCs w:val="16"/>
              </w:rPr>
              <w:t xml:space="preserve">    "items": [</w:t>
            </w:r>
          </w:p>
          <w:p>
            <w:pPr>
              <w:spacing w:after="0" w:line="230"/>
            </w:pPr>
            <w:r>
              <w:rPr>
                <w:rFonts w:ascii="Courier New" w:cs="Courier New" w:eastAsia="Courier New" w:hAnsi="Courier New"/>
                <w:sz w:val="16"/>
                <w:szCs w:val="16"/>
              </w:rPr>
              <w:t xml:space="preserve">      { "exerciseName": "Développé couché", "order": 1,</w:t>
            </w:r>
          </w:p>
          <w:p>
            <w:pPr>
              <w:spacing w:after="0" w:line="230"/>
            </w:pPr>
            <w:r>
              <w:rPr>
                <w:rFonts w:ascii="Courier New" w:cs="Courier New" w:eastAsia="Courier New" w:hAnsi="Courier New"/>
                <w:sz w:val="16"/>
                <w:szCs w:val="16"/>
              </w:rPr>
              <w:t xml:space="preserve">        "setResults": [ { "set": 1, "reps": 8, "load": { "value": 60, "unit": "kg" } } ]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"rpe": 8,</w:t>
            </w:r>
          </w:p>
          <w:p>
            <w:pPr>
              <w:spacing w:after="0" w:line="230"/>
            </w:pPr>
            <w:r>
              <w:rPr>
                <w:rFonts w:ascii="Courier New" w:cs="Courier New" w:eastAsia="Courier New" w:hAnsi="Courier New"/>
                <w:sz w:val="16"/>
                <w:szCs w:val="16"/>
              </w:rPr>
              <w:t xml:space="preserve">  "notes": "Bonne séance"</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201 Created</w:t>
            </w:r>
          </w:p>
          <w:p>
            <w:pPr>
              <w:spacing w:after="0" w:line="230"/>
            </w:pPr>
            <w:r>
              <w:rPr>
                <w:rFonts w:ascii="Courier New" w:cs="Courier New" w:eastAsia="Courier New" w:hAnsi="Courier New"/>
                <w:sz w:val="16"/>
                <w:szCs w:val="16"/>
              </w:rPr>
              <w:t xml:space="preserve">{ "id": "perf-uuid", "assignmentId": "assignment-uuid", "submittedAt": "2026-06-04T18:05:00Z" }</w:t>
            </w:r>
          </w:p>
        </w:tc>
      </w:tr>
    </w:tbl>
    <w:p>
      <w:pPr>
        <w:pStyle w:val="Heading2"/>
      </w:pPr>
      <w:r>
        <w:t xml:space="preserve">9.6 Opération asynchrone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POST /api/v1/users/me/export      -&gt;  202 Accepted</w:t>
            </w:r>
          </w:p>
          <w:p>
            <w:pPr>
              <w:spacing w:after="0" w:line="230"/>
            </w:pPr>
            <w:r>
              <w:rPr>
                <w:rFonts w:ascii="Courier New" w:cs="Courier New" w:eastAsia="Courier New" w:hAnsi="Courier New"/>
                <w:sz w:val="16"/>
                <w:szCs w:val="16"/>
              </w:rPr>
              <w:t xml:space="preserve">{ "jobId": "job-uuid", "status": "pending"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GET /api/v1/users/me/export/{jobId}  -&gt;  200 OK</w:t>
            </w:r>
          </w:p>
          <w:p>
            <w:pPr>
              <w:spacing w:after="0" w:line="230"/>
            </w:pPr>
            <w:r>
              <w:rPr>
                <w:rFonts w:ascii="Courier New" w:cs="Courier New" w:eastAsia="Courier New" w:hAnsi="Courier New"/>
                <w:sz w:val="16"/>
                <w:szCs w:val="16"/>
              </w:rPr>
              <w:t xml:space="preserve">{ "jobId": "job-uuid", "status": "ready", "downloadUrl": "https://.../export.zip",</w:t>
            </w:r>
          </w:p>
          <w:p>
            <w:pPr>
              <w:spacing w:after="0" w:line="230"/>
            </w:pPr>
            <w:r>
              <w:rPr>
                <w:rFonts w:ascii="Courier New" w:cs="Courier New" w:eastAsia="Courier New" w:hAnsi="Courier New"/>
                <w:sz w:val="16"/>
                <w:szCs w:val="16"/>
              </w:rPr>
              <w:t xml:space="preserve">  "expiresAt": "2026-06-05T10:00:00Z" }</w:t>
            </w:r>
          </w:p>
        </w:tc>
      </w:tr>
    </w:tbl>
    <w:p>
      <w:pPr>
        <w:pStyle w:val="Heading2"/>
      </w:pPr>
      <w:r>
        <w:t xml:space="preserve">9.7 Réponse de liste paginée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GET /api/v1/sessions?page=1&amp;limit=20&amp;status=published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200 OK</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"data": [ { "id": "session-uuid", "title": "Force haut du corps A", "status": "published" } ],</w:t>
            </w:r>
          </w:p>
          <w:p>
            <w:pPr>
              <w:spacing w:after="0" w:line="230"/>
            </w:pPr>
            <w:r>
              <w:rPr>
                <w:rFonts w:ascii="Courier New" w:cs="Courier New" w:eastAsia="Courier New" w:hAnsi="Courier New"/>
                <w:sz w:val="16"/>
                <w:szCs w:val="16"/>
              </w:rPr>
              <w:t xml:space="preserve">  "meta": { "total": 42, "page": 1, "limit": 20, "hasNext": true }</w:t>
            </w:r>
          </w:p>
          <w:p>
            <w:pPr>
              <w:spacing w:after="0" w:line="230"/>
            </w:pPr>
            <w:r>
              <w:rPr>
                <w:rFonts w:ascii="Courier New" w:cs="Courier New" w:eastAsia="Courier New" w:hAnsi="Courier New"/>
                <w:sz w:val="16"/>
                <w:szCs w:val="16"/>
              </w:rPr>
              <w:t xml:space="preserve">}</w:t>
            </w:r>
          </w:p>
        </w:tc>
      </w:tr>
    </w:tbl>
    <w:p>
      <w:pPr>
        <w:pStyle w:val="Heading1"/>
      </w:pPr>
      <w:r>
        <w:t xml:space="preserve">10. Normalisation des erreurs</w:t>
      </w:r>
    </w:p>
    <w:p>
      <w:pPr>
        <w:spacing w:after="120" w:line="264"/>
      </w:pPr>
      <w:r>
        <w:t xml:space="preserve">Toutes les erreurs applicatives respectent une structure stable, produite par un filtre d'exception global, afin d'éviter les traitements spécifiques par écran côté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4F4F4" w:val="clear"/>
            <w:tcMar>
              <w:top w:type="dxa" w:w="80"/>
              <w:left w:type="dxa" w:w="140"/>
              <w:bottom w:type="dxa" w:w="80"/>
              <w:right w:type="dxa" w:w="140"/>
            </w:tcMar>
          </w:tcPr>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"statusCode": 422,</w:t>
            </w:r>
          </w:p>
          <w:p>
            <w:pPr>
              <w:spacing w:after="0" w:line="230"/>
            </w:pPr>
            <w:r>
              <w:rPr>
                <w:rFonts w:ascii="Courier New" w:cs="Courier New" w:eastAsia="Courier New" w:hAnsi="Courier New"/>
                <w:sz w:val="16"/>
                <w:szCs w:val="16"/>
              </w:rPr>
              <w:t xml:space="preserve">  "error": "VALIDATION_ERROR",</w:t>
            </w:r>
          </w:p>
          <w:p>
            <w:pPr>
              <w:spacing w:after="0" w:line="230"/>
            </w:pPr>
            <w:r>
              <w:rPr>
                <w:rFonts w:ascii="Courier New" w:cs="Courier New" w:eastAsia="Courier New" w:hAnsi="Courier New"/>
                <w:sz w:val="16"/>
                <w:szCs w:val="16"/>
              </w:rPr>
              <w:t xml:space="preserve">  "message": "Validation failed",</w:t>
            </w:r>
          </w:p>
          <w:p>
            <w:pPr>
              <w:spacing w:after="0" w:line="230"/>
            </w:pPr>
            <w:r>
              <w:rPr>
                <w:rFonts w:ascii="Courier New" w:cs="Courier New" w:eastAsia="Courier New" w:hAnsi="Courier New"/>
                <w:sz w:val="16"/>
                <w:szCs w:val="16"/>
              </w:rPr>
              <w:t xml:space="preserve">  "details": [</w:t>
            </w:r>
          </w:p>
          <w:p>
            <w:pPr>
              <w:spacing w:after="0" w:line="230"/>
            </w:pPr>
            <w:r>
              <w:rPr>
                <w:rFonts w:ascii="Courier New" w:cs="Courier New" w:eastAsia="Courier New" w:hAnsi="Courier New"/>
                <w:sz w:val="16"/>
                <w:szCs w:val="16"/>
              </w:rPr>
              <w:t xml:space="preserve">    { "field": "email", "constraint": "isEmail", "message": "email must be a valid email address"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"timestamp": "2026-06-04T10:00:00Z",</w:t>
            </w:r>
          </w:p>
          <w:p>
            <w:pPr>
              <w:spacing w:after="0" w:line="230"/>
            </w:pPr>
            <w:r>
              <w:rPr>
                <w:rFonts w:ascii="Courier New" w:cs="Courier New" w:eastAsia="Courier New" w:hAnsi="Courier New"/>
                <w:sz w:val="16"/>
                <w:szCs w:val="16"/>
              </w:rPr>
              <w:t xml:space="preserve">  "path": "/api/v1/auth/register"</w:t>
            </w:r>
          </w:p>
          <w:p>
            <w:pPr>
              <w:spacing w:after="0" w:line="230"/>
            </w:pPr>
            <w:r>
              <w:rPr>
                <w:rFonts w:ascii="Courier New" w:cs="Courier New" w:eastAsia="Courier New" w:hAnsi="Courier New"/>
                <w:sz w:val="16"/>
                <w:szCs w:val="16"/>
              </w:rPr>
              <w:t xml:space="preserve">}</w:t>
            </w:r>
          </w:p>
        </w:tc>
      </w:tr>
    </w:tbl>
    <w:p>
      <w:pPr>
        <w:pStyle w:val="ListParagraph"/>
        <w:numPr>
          <w:ilvl w:val="0"/>
          <w:numId w:val="2"/>
        </w:numPr>
        <w:spacing w:after="50" w:line="256"/>
      </w:pPr>
      <w:r>
        <w:t xml:space="preserve">Codes d'erreur standard : VALIDATION_ERROR, UNAUTHORIZED, FORBIDDEN, NOT_FOUND, CONFLICT, IDEMPOTENCY_CONFLICT, CONSENT_REQUIRED, RATE_LIMITED, INTERNAL_ERROR.</w:t>
      </w:r>
    </w:p>
    <w:p>
      <w:pPr>
        <w:pStyle w:val="ListParagraph"/>
        <w:numPr>
          <w:ilvl w:val="0"/>
          <w:numId w:val="2"/>
        </w:numPr>
        <w:spacing w:after="50" w:line="256"/>
      </w:pPr>
      <w:r>
        <w:t xml:space="preserve">CONSENT_REQUIRED (403) est renvoyé lorsqu'une action est bloquée faute de consentement (ex. accès coach aux performances).</w:t>
      </w:r>
    </w:p>
    <w:p>
      <w:pPr>
        <w:pStyle w:val="ListParagraph"/>
        <w:numPr>
          <w:ilvl w:val="0"/>
          <w:numId w:val="2"/>
        </w:numPr>
        <w:spacing w:after="50" w:line="256"/>
      </w:pPr>
      <w:r>
        <w:t xml:space="preserve">Le champ details est réservé aux erreurs actionnables et n'expose jamais d'information sensible.</w:t>
      </w:r>
    </w:p>
    <w:p>
      <w:pPr>
        <w:pStyle w:val="ListParagraph"/>
        <w:numPr>
          <w:ilvl w:val="0"/>
          <w:numId w:val="2"/>
        </w:numPr>
        <w:spacing w:after="50" w:line="256"/>
      </w:pPr>
      <w:r>
        <w:t xml:space="preserve">L'application mobile mappe les codes techniques vers des messages utilisateurs localisés.</w:t>
      </w:r>
    </w:p>
    <w:p>
      <w:pPr>
        <w:pStyle w:val="Heading1"/>
      </w:pPr>
      <w:r>
        <w:t xml:space="preserve">11. Flux applicatifs critiques</w:t>
      </w:r>
    </w:p>
    <w:p>
      <w:pPr>
        <w:pStyle w:val="Heading2"/>
      </w:pPr>
      <w:r>
        <w:t xml:space="preserve">11.1 Authentification et renouvellement</w:t>
      </w:r>
    </w:p>
    <w:p>
      <w:pPr>
        <w:spacing w:after="120" w:line="264"/>
      </w:pPr>
      <w:r>
        <w:t xml:space="preserve">Connexion → délivrance d'un access token court et d'un refresh token. À l'expiration de l'access token, le client renouvelle via le refresh token, qui est aussitôt remplacé (rotation). Si un refresh token déjà consommé est rejoué, toute la famille est révoquée et l'utilisateur doit se reconnecter.</w:t>
      </w:r>
    </w:p>
    <w:p>
      <w:pPr>
        <w:pStyle w:val="Heading2"/>
      </w:pPr>
      <w:r>
        <w:t xml:space="preserve">11.2 Création et exécution d'une séance</w:t>
      </w:r>
    </w:p>
    <w:p>
      <w:pPr>
        <w:pStyle w:val="ListParagraph"/>
        <w:numPr>
          <w:ilvl w:val="0"/>
          <w:numId w:val="2"/>
        </w:numPr>
        <w:spacing w:after="50" w:line="256"/>
      </w:pPr>
      <w:r>
        <w:t xml:space="preserve">Le coach crée une séance (brouillon), puis la publie.</w:t>
      </w:r>
    </w:p>
    <w:p>
      <w:pPr>
        <w:pStyle w:val="ListParagraph"/>
        <w:numPr>
          <w:ilvl w:val="0"/>
          <w:numId w:val="2"/>
        </w:numPr>
        <w:spacing w:after="50" w:line="256"/>
      </w:pPr>
      <w:r>
        <w:t xml:space="preserve">Le coach l'affecte à un ou plusieurs athlètes liés.</w:t>
      </w:r>
    </w:p>
    <w:p>
      <w:pPr>
        <w:pStyle w:val="ListParagraph"/>
        <w:numPr>
          <w:ilvl w:val="0"/>
          <w:numId w:val="2"/>
        </w:numPr>
        <w:spacing w:after="50" w:line="256"/>
      </w:pPr>
      <w:r>
        <w:t xml:space="preserve">L'athlète consulte la séance, la réalise et soumet sa performance.</w:t>
      </w:r>
    </w:p>
    <w:p>
      <w:pPr>
        <w:pStyle w:val="ListParagraph"/>
        <w:numPr>
          <w:ilvl w:val="0"/>
          <w:numId w:val="2"/>
        </w:numPr>
        <w:spacing w:after="50" w:line="256"/>
      </w:pPr>
      <w:r>
        <w:t xml:space="preserve">Le coach consulte les résultats (sous consentement) et peut commenter.</w:t>
      </w:r>
    </w:p>
    <w:p>
      <w:pPr>
        <w:pStyle w:val="Heading2"/>
      </w:pPr>
      <w:r>
        <w:t xml:space="preserve">11.3 Saisie de performance hors ligne</w:t>
      </w:r>
    </w:p>
    <w:p>
      <w:pPr>
        <w:pStyle w:val="ListParagraph"/>
        <w:numPr>
          <w:ilvl w:val="0"/>
          <w:numId w:val="2"/>
        </w:numPr>
        <w:spacing w:after="50" w:line="256"/>
      </w:pPr>
      <w:r>
        <w:t xml:space="preserve">L'athlète saisit une performance sans réseau ; elle est mise en file localement.</w:t>
      </w:r>
    </w:p>
    <w:p>
      <w:pPr>
        <w:pStyle w:val="ListParagraph"/>
        <w:numPr>
          <w:ilvl w:val="0"/>
          <w:numId w:val="2"/>
        </w:numPr>
        <w:spacing w:after="50" w:line="256"/>
      </w:pPr>
      <w:r>
        <w:t xml:space="preserve">À la reconnexion, le client rejoue la requête avec sa clé Idempotency-Key.</w:t>
      </w:r>
    </w:p>
    <w:p>
      <w:pPr>
        <w:pStyle w:val="ListParagraph"/>
        <w:numPr>
          <w:ilvl w:val="0"/>
          <w:numId w:val="2"/>
        </w:numPr>
        <w:spacing w:after="50" w:line="256"/>
      </w:pPr>
      <w:r>
        <w:t xml:space="preserve">Le serveur crée la performance une seule fois ; une reprise renvoie le résultat initial sans doublon.</w:t>
      </w:r>
    </w:p>
    <w:p>
      <w:pPr>
        <w:pStyle w:val="Heading2"/>
      </w:pPr>
      <w:r>
        <w:t xml:space="preserve">11.4 Retrait de consentement</w:t>
      </w:r>
    </w:p>
    <w:p>
      <w:pPr>
        <w:pStyle w:val="ListParagraph"/>
        <w:numPr>
          <w:ilvl w:val="0"/>
          <w:numId w:val="2"/>
        </w:numPr>
        <w:spacing w:after="50" w:line="256"/>
      </w:pPr>
      <w:r>
        <w:t xml:space="preserve">L'athlète retire un consentement via PUT /users/me/consents.</w:t>
      </w:r>
    </w:p>
    <w:p>
      <w:pPr>
        <w:pStyle w:val="ListParagraph"/>
        <w:numPr>
          <w:ilvl w:val="0"/>
          <w:numId w:val="2"/>
        </w:numPr>
        <w:spacing w:after="50" w:line="256"/>
      </w:pPr>
      <w:r>
        <w:t xml:space="preserve">Le changement est horodaté ; le traitement concerné cesse immédiatement (ex. l'accès coach aux performances est bloqué).</w:t>
      </w:r>
    </w:p>
    <w:p>
      <w:pPr>
        <w:pStyle w:val="ListParagraph"/>
        <w:numPr>
          <w:ilvl w:val="0"/>
          <w:numId w:val="2"/>
        </w:numPr>
        <w:spacing w:after="50" w:line="256"/>
      </w:pPr>
      <w:r>
        <w:t xml:space="preserve">Les purges éventuellement nécessaires sont planifiées en tâche asynchrone (cf. RB-05).</w:t>
      </w:r>
    </w:p>
    <w:p>
      <w:pPr>
        <w:pStyle w:val="Heading2"/>
      </w:pPr>
      <w:r>
        <w:t xml:space="preserve">11.5 Export et suppression asynchrones</w:t>
      </w:r>
    </w:p>
    <w:p>
      <w:pPr>
        <w:pStyle w:val="ListParagraph"/>
        <w:numPr>
          <w:ilvl w:val="0"/>
          <w:numId w:val="2"/>
        </w:numPr>
        <w:spacing w:after="50" w:line="256"/>
      </w:pPr>
      <w:r>
        <w:t xml:space="preserve">La demande renvoie 202 Accepted avec un identifiant de tâche.</w:t>
      </w:r>
    </w:p>
    <w:p>
      <w:pPr>
        <w:pStyle w:val="ListParagraph"/>
        <w:numPr>
          <w:ilvl w:val="0"/>
          <w:numId w:val="2"/>
        </w:numPr>
        <w:spacing w:after="50" w:line="256"/>
      </w:pPr>
      <w:r>
        <w:t xml:space="preserve">Un worker compile l'export ou exécute l'effacement ; le client suit l'avancement via la ressource de statut.</w:t>
      </w:r>
    </w:p>
    <w:p>
      <w:pPr>
        <w:pStyle w:val="ListParagraph"/>
        <w:numPr>
          <w:ilvl w:val="0"/>
          <w:numId w:val="2"/>
        </w:numPr>
        <w:spacing w:after="50" w:line="256"/>
      </w:pPr>
      <w:r>
        <w:t xml:space="preserve">L'export est mis à disposition via un lien signé à durée de vie courte ; l'effacement réel respecte les délais de TX-SEC-003.</w:t>
      </w:r>
    </w:p>
    <w:p>
      <w:pPr>
        <w:pStyle w:val="Heading1"/>
      </w:pPr>
      <w:r>
        <w:t xml:space="preserve">12. Recommandations d'implémentation API</w:t>
      </w:r>
    </w:p>
    <w:p>
      <w:pPr>
        <w:pStyle w:val="ListParagraph"/>
        <w:numPr>
          <w:ilvl w:val="0"/>
          <w:numId w:val="2"/>
        </w:numPr>
        <w:spacing w:after="50" w:line="256"/>
      </w:pPr>
      <w:r>
        <w:t xml:space="preserve">Faire de l'OpenAPI la source de vérité des contrats : générer la documentation et les types client à partir d'elle, plutôt que de maintenir la documentation à la main.</w:t>
      </w:r>
    </w:p>
    <w:p>
      <w:pPr>
        <w:pStyle w:val="ListParagraph"/>
        <w:numPr>
          <w:ilvl w:val="0"/>
          <w:numId w:val="2"/>
        </w:numPr>
        <w:spacing w:after="50" w:line="256"/>
      </w:pPr>
      <w:r>
        <w:t xml:space="preserve">Appliquer les contrôles d'autorisation (section 6) via des guards transversaux, jamais réimplémentés ad hoc par endpoint.</w:t>
      </w:r>
    </w:p>
    <w:p>
      <w:pPr>
        <w:pStyle w:val="ListParagraph"/>
        <w:numPr>
          <w:ilvl w:val="0"/>
          <w:numId w:val="2"/>
        </w:numPr>
        <w:spacing w:after="50" w:line="256"/>
      </w:pPr>
      <w:r>
        <w:t xml:space="preserve">Imposer un filtre d'exception global produisant exactement le schéma d'erreur de la section 10.</w:t>
      </w:r>
    </w:p>
    <w:p>
      <w:pPr>
        <w:pStyle w:val="ListParagraph"/>
        <w:numPr>
          <w:ilvl w:val="0"/>
          <w:numId w:val="2"/>
        </w:numPr>
        <w:spacing w:after="50" w:line="256"/>
      </w:pPr>
      <w:r>
        <w:t xml:space="preserve">Éviter les réponses trop riches pour le mobile ; préférer plusieurs ressources ciblées à un payload monolithique.</w:t>
      </w:r>
    </w:p>
    <w:p>
      <w:pPr>
        <w:pStyle w:val="ListParagraph"/>
        <w:numPr>
          <w:ilvl w:val="0"/>
          <w:numId w:val="2"/>
        </w:numPr>
        <w:spacing w:after="50" w:line="256"/>
      </w:pPr>
      <w:r>
        <w:t xml:space="preserve">Prévoir des endpoints dédiés aux tableaux de bord si les calculs deviennent coûteux.</w:t>
      </w:r>
    </w:p>
    <w:p>
      <w:pPr>
        <w:pStyle w:val="ListParagraph"/>
        <w:numPr>
          <w:ilvl w:val="0"/>
          <w:numId w:val="2"/>
        </w:numPr>
        <w:spacing w:after="50" w:line="256"/>
      </w:pPr>
      <w:r>
        <w:t xml:space="preserve">Maintenir une stricte compatibilité ascendante sur les contrats publics, ou versionner explicitement les ruptures.</w:t>
      </w:r>
    </w:p>
    <w:p>
      <w:pPr>
        <w:pStyle w:val="ListParagraph"/>
        <w:numPr>
          <w:ilvl w:val="0"/>
          <w:numId w:val="2"/>
        </w:numPr>
        <w:spacing w:after="50" w:line="256"/>
      </w:pPr>
      <w:r>
        <w:t xml:space="preserve">Mettre en place des tests de contrat mobile↔API et tester systématiquement les scénarios d'autorisation et les cas limites.</w:t>
      </w:r>
    </w:p>
    <w:p>
      <w:pPr>
        <w:pStyle w:val="Heading1"/>
      </w:pPr>
      <w:r>
        <w:t xml:space="preserve">13. Décisions à valider</w:t>
      </w:r>
    </w:p>
    <w:p>
      <w:pPr>
        <w:spacing w:after="120" w:line="264"/>
      </w:pPr>
      <w:r>
        <w:t xml:space="preserve">Arbitrages fonctionnels et d'API à confirmer.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1426"/>
      </w:tblGrid>
      <w:tr>
        <w:trPr>
          <w:tblHeader/>
        </w:trPr>
        <w:tc>
          <w:tcPr>
            <w:tcW w:type="dxa" w:w="33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Sujet</w:t>
            </w:r>
          </w:p>
        </w:tc>
        <w:tc>
          <w:tcPr>
            <w:tcW w:type="dxa" w:w="43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Recommandation par défaut</w:t>
            </w:r>
          </w:p>
        </w:tc>
        <w:tc>
          <w:tcPr>
            <w:tcW w:type="dxa" w:w="1426"/>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vAlign w:val="center"/>
          </w:tcPr>
          <w:p>
            <w:r>
              <w:rPr>
                <w:b/>
                <w:bCs/>
                <w:color w:val="FFFFFF"/>
              </w:rPr>
              <w:t xml:space="preserve">Réf.</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Notion de « programme » multi-séances</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Hors MVP ; affectation de séances individuelles</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3.2, 5</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2FA des comptes coach</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Optionnelle, en V2</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8.1</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Unicité « une performance par affectation »</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Confirmée (RB-09) ; sinon historisation</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4, 8.5</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Stratégie de conflit hors ligne</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Idempotence + dernière écriture gagnante par affectation ; à confirmer</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7, 11.3</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Format et livraison de l'export</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Archive (JSON structuré) via lien signé ; à préciser</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8.2, 9.6</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OpenAPI comme source de vérité</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À acter ; artefact séparé généré et versionné</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12</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Tri et filtres par défaut des listes</w:t>
            </w:r>
          </w:p>
        </w:tc>
        <w:tc>
          <w:tcPr>
            <w:tcW w:type="dxa" w:w="4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À préciser par ressource</w:t>
            </w:r>
          </w:p>
        </w:tc>
        <w:tc>
          <w:tcPr>
            <w:tcW w:type="dxa" w:w="1426"/>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rPr>
              <w:t xml:space="preserve">7</w:t>
            </w:r>
          </w:p>
        </w:tc>
      </w:tr>
    </w:tbl>
    <w:p>
      <w:pPr>
        <w:pStyle w:val="Heading1"/>
      </w:pPr>
      <w:r>
        <w:t xml:space="preserve">14. Conclusion</w:t>
      </w:r>
    </w:p>
    <w:p>
      <w:pPr>
        <w:spacing w:after="120" w:line="264"/>
      </w:pPr>
      <w:r>
        <w:t xml:space="preserve">Cette révision aligne les contrats d'API sur les fonctionnalités décrites : chaque capacité du catalogue dispose désormais d'une ressource, le modèle d'autorisation est explicite et testable, et les points sensibles (consentement conditionnel, idempotence, opérations asynchrones, rotation des jetons) sont traités. Le périmètre reste volontairement resserré pour le MVP.</w:t>
      </w:r>
    </w:p>
    <w:p>
      <w:pPr>
        <w:spacing w:after="120" w:line="264"/>
      </w:pPr>
      <w:r>
        <w:t xml:space="preserve">Les ressources exposées sont peu nombreuses mais suffisamment expressives pour couvrir le MVP et ouvrir la voie aux évolutions : programmes multi-séances, analytics enrichis, et synchronisation hors ligne plus poussée. Les arbitrages de la section 13 doivent être confirmés, et l'OpenAPI correspondant établi comme contrat de référence.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808080"/>
        <w:sz w:val="16"/>
        <w:szCs w:val="16"/>
      </w:rPr>
      <w:t xml:space="preserve">Talent-X — Spécifications &amp; API · TX-SPEC-002 · v2.0</w:t>
    </w:r>
    <w:r>
      <w:rPr>
        <w:sz w:val="16"/>
        <w:szCs w:val="16"/>
      </w:rP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2026-06-04T17:52:29.187Z</dcterms:created>
  <dcterms:modified xsi:type="dcterms:W3CDTF">2026-06-04T17:52:29.187Z</dcterms:modified>
</cp:coreProperties>
</file>

<file path=docProps/custom.xml><?xml version="1.0" encoding="utf-8"?>
<Properties xmlns="http://schemas.openxmlformats.org/officeDocument/2006/custom-properties" xmlns:vt="http://schemas.openxmlformats.org/officeDocument/2006/docPropsVTypes"/>
</file>