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B087E" w14:textId="2020149A" w:rsidR="00C43BEF" w:rsidRPr="0058432E" w:rsidRDefault="00C43BEF" w:rsidP="0058432E">
      <w:pPr>
        <w:jc w:val="both"/>
        <w:rPr>
          <w:rFonts w:ascii="Times New Roman" w:hAnsi="Times New Roman" w:cs="Times New Roman"/>
          <w:b/>
          <w:bCs/>
          <w:lang w:val="fr-FR"/>
        </w:rPr>
      </w:pPr>
      <w:r w:rsidRPr="0058432E">
        <w:rPr>
          <w:rFonts w:ascii="Times New Roman" w:hAnsi="Times New Roman" w:cs="Times New Roman"/>
          <w:b/>
          <w:bCs/>
          <w:lang w:val="fr-FR"/>
        </w:rPr>
        <w:t xml:space="preserve">Document de Référence : Analyse et Notation </w:t>
      </w:r>
      <w:r w:rsidR="005B7BCF" w:rsidRPr="0058432E">
        <w:rPr>
          <w:rFonts w:ascii="Times New Roman" w:hAnsi="Times New Roman" w:cs="Times New Roman"/>
          <w:b/>
          <w:bCs/>
          <w:lang w:val="fr-FR"/>
        </w:rPr>
        <w:t xml:space="preserve">des pays </w:t>
      </w:r>
    </w:p>
    <w:p w14:paraId="5B40EFFF" w14:textId="77777777" w:rsidR="00EF1FB6" w:rsidRPr="00EF1FB6" w:rsidRDefault="00EF1FB6" w:rsidP="0058432E">
      <w:pPr>
        <w:jc w:val="both"/>
        <w:rPr>
          <w:rFonts w:ascii="Times New Roman" w:hAnsi="Times New Roman" w:cs="Times New Roman"/>
          <w:b/>
          <w:bCs/>
          <w:lang w:val="fr-FR"/>
        </w:rPr>
      </w:pPr>
      <w:r w:rsidRPr="00EF1FB6">
        <w:rPr>
          <w:rFonts w:ascii="Times New Roman" w:hAnsi="Times New Roman" w:cs="Times New Roman"/>
          <w:b/>
          <w:bCs/>
          <w:lang w:val="fr-FR"/>
        </w:rPr>
        <w:t>Objectif de la méthode</w:t>
      </w:r>
    </w:p>
    <w:p w14:paraId="6543F681" w14:textId="77777777" w:rsidR="00EF1FB6" w:rsidRPr="00EF1FB6" w:rsidRDefault="00EF1FB6" w:rsidP="0058432E">
      <w:pPr>
        <w:jc w:val="both"/>
        <w:rPr>
          <w:rFonts w:ascii="Times New Roman" w:hAnsi="Times New Roman" w:cs="Times New Roman"/>
          <w:lang w:val="fr-FR"/>
        </w:rPr>
      </w:pPr>
      <w:r w:rsidRPr="00EF1FB6">
        <w:rPr>
          <w:rFonts w:ascii="Times New Roman" w:hAnsi="Times New Roman" w:cs="Times New Roman"/>
          <w:lang w:val="fr-FR"/>
        </w:rPr>
        <w:t xml:space="preserve">Construire un système de </w:t>
      </w:r>
      <w:proofErr w:type="spellStart"/>
      <w:r w:rsidRPr="00EF1FB6">
        <w:rPr>
          <w:rFonts w:ascii="Times New Roman" w:hAnsi="Times New Roman" w:cs="Times New Roman"/>
          <w:lang w:val="fr-FR"/>
        </w:rPr>
        <w:t>scoring</w:t>
      </w:r>
      <w:proofErr w:type="spellEnd"/>
      <w:r w:rsidRPr="00EF1FB6">
        <w:rPr>
          <w:rFonts w:ascii="Times New Roman" w:hAnsi="Times New Roman" w:cs="Times New Roman"/>
          <w:lang w:val="fr-FR"/>
        </w:rPr>
        <w:t xml:space="preserve"> des pays de l’UEMOA à partir de données financières et économiques, en utilisant l’Analyse en Composantes Principales (ACP) pour identifier les critères les plus influents, puis en calculant un score pondéré et une notation finale.</w:t>
      </w:r>
    </w:p>
    <w:p w14:paraId="18410772" w14:textId="77777777" w:rsidR="00885607" w:rsidRPr="008A1639" w:rsidRDefault="00885607" w:rsidP="0058432E">
      <w:pPr>
        <w:jc w:val="both"/>
        <w:rPr>
          <w:rFonts w:ascii="Times New Roman" w:hAnsi="Times New Roman" w:cs="Times New Roman"/>
          <w:b/>
          <w:bCs/>
          <w:lang w:val="fr-FR"/>
        </w:rPr>
      </w:pPr>
      <w:r w:rsidRPr="008A1639">
        <w:rPr>
          <w:rFonts w:ascii="Times New Roman" w:hAnsi="Times New Roman" w:cs="Times New Roman"/>
          <w:b/>
          <w:bCs/>
          <w:lang w:val="fr-FR"/>
        </w:rPr>
        <w:t>2. Installation et Importation des Librairies</w:t>
      </w:r>
    </w:p>
    <w:p w14:paraId="11C75AB6" w14:textId="77777777" w:rsidR="00885607" w:rsidRPr="0058432E" w:rsidRDefault="00885607" w:rsidP="0058432E">
      <w:pPr>
        <w:jc w:val="both"/>
        <w:rPr>
          <w:rFonts w:ascii="Times New Roman" w:hAnsi="Times New Roman" w:cs="Times New Roman"/>
          <w:lang w:val="fr-FR"/>
        </w:rPr>
      </w:pPr>
      <w:r w:rsidRPr="0058432E">
        <w:rPr>
          <w:rFonts w:ascii="Times New Roman" w:hAnsi="Times New Roman" w:cs="Times New Roman"/>
          <w:sz w:val="22"/>
          <w:lang w:val="fr-FR"/>
        </w:rPr>
        <w:t xml:space="preserve">Les bibliothèques pandas, </w:t>
      </w:r>
      <w:proofErr w:type="spellStart"/>
      <w:r w:rsidRPr="0058432E">
        <w:rPr>
          <w:rFonts w:ascii="Times New Roman" w:hAnsi="Times New Roman" w:cs="Times New Roman"/>
          <w:sz w:val="22"/>
          <w:lang w:val="fr-FR"/>
        </w:rPr>
        <w:t>numpy</w:t>
      </w:r>
      <w:proofErr w:type="spellEnd"/>
      <w:r w:rsidRPr="0058432E">
        <w:rPr>
          <w:rFonts w:ascii="Times New Roman" w:hAnsi="Times New Roman" w:cs="Times New Roman"/>
          <w:sz w:val="22"/>
          <w:lang w:val="fr-FR"/>
        </w:rPr>
        <w:t xml:space="preserve">, </w:t>
      </w:r>
      <w:proofErr w:type="spellStart"/>
      <w:r w:rsidRPr="0058432E">
        <w:rPr>
          <w:rFonts w:ascii="Times New Roman" w:hAnsi="Times New Roman" w:cs="Times New Roman"/>
          <w:sz w:val="22"/>
          <w:lang w:val="fr-FR"/>
        </w:rPr>
        <w:t>scikit-learn</w:t>
      </w:r>
      <w:proofErr w:type="spellEnd"/>
      <w:r w:rsidRPr="0058432E">
        <w:rPr>
          <w:rFonts w:ascii="Times New Roman" w:hAnsi="Times New Roman" w:cs="Times New Roman"/>
          <w:sz w:val="22"/>
          <w:lang w:val="fr-FR"/>
        </w:rPr>
        <w:t xml:space="preserve"> et </w:t>
      </w:r>
      <w:proofErr w:type="spellStart"/>
      <w:r w:rsidRPr="0058432E">
        <w:rPr>
          <w:rFonts w:ascii="Times New Roman" w:hAnsi="Times New Roman" w:cs="Times New Roman"/>
          <w:sz w:val="22"/>
          <w:lang w:val="fr-FR"/>
        </w:rPr>
        <w:t>datetime</w:t>
      </w:r>
      <w:proofErr w:type="spellEnd"/>
      <w:r w:rsidRPr="0058432E">
        <w:rPr>
          <w:rFonts w:ascii="Times New Roman" w:hAnsi="Times New Roman" w:cs="Times New Roman"/>
          <w:sz w:val="22"/>
          <w:lang w:val="fr-FR"/>
        </w:rPr>
        <w:t xml:space="preserve"> sont utilisées pour le traitement des données, les calculs statistiques et la gestion des dates.</w:t>
      </w:r>
    </w:p>
    <w:p w14:paraId="19F9E8A4" w14:textId="23BE7D23" w:rsidR="00DF1B04" w:rsidRPr="0058432E" w:rsidRDefault="00DF1B04" w:rsidP="0058432E">
      <w:pPr>
        <w:jc w:val="both"/>
        <w:rPr>
          <w:rFonts w:ascii="Times New Roman" w:hAnsi="Times New Roman" w:cs="Times New Roman"/>
          <w:b/>
          <w:bCs/>
          <w:lang w:val="fr-FR"/>
        </w:rPr>
      </w:pPr>
      <w:r w:rsidRPr="0058432E">
        <w:rPr>
          <w:rFonts w:ascii="Times New Roman" w:hAnsi="Times New Roman" w:cs="Times New Roman"/>
          <w:b/>
          <w:bCs/>
          <w:lang w:val="fr-FR"/>
        </w:rPr>
        <w:t xml:space="preserve">3. Chargement et </w:t>
      </w:r>
      <w:r w:rsidR="00DF312E" w:rsidRPr="0058432E">
        <w:rPr>
          <w:rFonts w:ascii="Times New Roman" w:hAnsi="Times New Roman" w:cs="Times New Roman"/>
          <w:b/>
          <w:bCs/>
          <w:lang w:val="fr-FR"/>
        </w:rPr>
        <w:t xml:space="preserve">Prétraitement </w:t>
      </w:r>
      <w:r w:rsidRPr="0058432E">
        <w:rPr>
          <w:rFonts w:ascii="Times New Roman" w:hAnsi="Times New Roman" w:cs="Times New Roman"/>
          <w:b/>
          <w:bCs/>
          <w:lang w:val="fr-FR"/>
        </w:rPr>
        <w:t>des Données</w:t>
      </w:r>
    </w:p>
    <w:p w14:paraId="5830E30A" w14:textId="29284541" w:rsidR="00070101" w:rsidRPr="00FB0869" w:rsidRDefault="00565E84" w:rsidP="0058432E">
      <w:pPr>
        <w:jc w:val="both"/>
        <w:rPr>
          <w:rFonts w:ascii="Times New Roman" w:hAnsi="Times New Roman" w:cs="Times New Roman"/>
          <w:sz w:val="22"/>
          <w:lang w:val="fr-FR"/>
        </w:rPr>
      </w:pPr>
      <w:r w:rsidRPr="00FB0869">
        <w:rPr>
          <w:rFonts w:ascii="Times New Roman" w:hAnsi="Times New Roman" w:cs="Times New Roman"/>
          <w:sz w:val="22"/>
          <w:lang w:val="fr-FR"/>
        </w:rPr>
        <w:t>L</w:t>
      </w:r>
      <w:r w:rsidR="00070101" w:rsidRPr="00FB0869">
        <w:rPr>
          <w:rFonts w:ascii="Times New Roman" w:hAnsi="Times New Roman" w:cs="Times New Roman"/>
          <w:sz w:val="22"/>
          <w:lang w:val="fr-FR"/>
        </w:rPr>
        <w:t xml:space="preserve">a première étape consiste à importer les données à partir de la source </w:t>
      </w:r>
      <w:proofErr w:type="gramStart"/>
      <w:r w:rsidR="00070101" w:rsidRPr="00FB0869">
        <w:rPr>
          <w:rFonts w:ascii="Times New Roman" w:hAnsi="Times New Roman" w:cs="Times New Roman"/>
          <w:sz w:val="22"/>
          <w:lang w:val="fr-FR"/>
        </w:rPr>
        <w:t>disponible .</w:t>
      </w:r>
      <w:proofErr w:type="gramEnd"/>
      <w:r w:rsidR="00070101" w:rsidRPr="00FB0869">
        <w:rPr>
          <w:rFonts w:ascii="Times New Roman" w:hAnsi="Times New Roman" w:cs="Times New Roman"/>
          <w:sz w:val="22"/>
          <w:lang w:val="fr-FR"/>
        </w:rPr>
        <w:t xml:space="preserve"> Une fois les données chargées, un prétraitement est effectué afin de garantir leur qualité et leur cohérence pour les analyses à venir. </w:t>
      </w:r>
    </w:p>
    <w:p w14:paraId="7E07793A" w14:textId="3690D58C" w:rsidR="00DF1B04" w:rsidRPr="0058432E" w:rsidRDefault="00DF1B04" w:rsidP="0058432E">
      <w:pPr>
        <w:jc w:val="both"/>
        <w:rPr>
          <w:rFonts w:ascii="Times New Roman" w:hAnsi="Times New Roman" w:cs="Times New Roman"/>
          <w:b/>
          <w:bCs/>
          <w:lang w:val="fr-FR"/>
        </w:rPr>
      </w:pPr>
      <w:r w:rsidRPr="0058432E">
        <w:rPr>
          <w:rFonts w:ascii="Times New Roman" w:hAnsi="Times New Roman" w:cs="Times New Roman"/>
          <w:b/>
          <w:bCs/>
          <w:lang w:val="fr-FR"/>
        </w:rPr>
        <w:t>4.</w:t>
      </w:r>
      <w:r w:rsidR="00565E84" w:rsidRPr="00565E84">
        <w:rPr>
          <w:rFonts w:ascii="Times New Roman" w:hAnsi="Times New Roman" w:cs="Times New Roman"/>
          <w:b/>
          <w:bCs/>
          <w:lang w:val="fr-FR"/>
        </w:rPr>
        <w:t xml:space="preserve"> </w:t>
      </w:r>
      <w:r w:rsidR="009B32D0" w:rsidRPr="0058432E">
        <w:rPr>
          <w:rFonts w:ascii="Times New Roman" w:hAnsi="Times New Roman" w:cs="Times New Roman"/>
          <w:b/>
          <w:bCs/>
          <w:lang w:val="fr-FR"/>
        </w:rPr>
        <w:t>Filtrage,</w:t>
      </w:r>
      <w:r w:rsidR="00E3638B">
        <w:rPr>
          <w:rFonts w:ascii="Times New Roman" w:hAnsi="Times New Roman" w:cs="Times New Roman"/>
          <w:b/>
          <w:bCs/>
          <w:lang w:val="fr-FR"/>
        </w:rPr>
        <w:t xml:space="preserve"> p</w:t>
      </w:r>
      <w:r w:rsidRPr="0058432E">
        <w:rPr>
          <w:rFonts w:ascii="Times New Roman" w:hAnsi="Times New Roman" w:cs="Times New Roman"/>
          <w:b/>
          <w:bCs/>
          <w:lang w:val="fr-FR"/>
        </w:rPr>
        <w:t>rétraitement et Standardisation</w:t>
      </w:r>
      <w:r w:rsidR="00E3638B">
        <w:rPr>
          <w:rFonts w:ascii="Times New Roman" w:hAnsi="Times New Roman" w:cs="Times New Roman"/>
          <w:b/>
          <w:bCs/>
          <w:lang w:val="fr-FR"/>
        </w:rPr>
        <w:t xml:space="preserve"> </w:t>
      </w:r>
      <w:r w:rsidR="00E3638B" w:rsidRPr="0058432E">
        <w:rPr>
          <w:rFonts w:ascii="Times New Roman" w:hAnsi="Times New Roman" w:cs="Times New Roman"/>
          <w:b/>
          <w:bCs/>
          <w:lang w:val="fr-FR"/>
        </w:rPr>
        <w:t>des Données</w:t>
      </w:r>
    </w:p>
    <w:p w14:paraId="245B2C2E" w14:textId="77777777" w:rsidR="009B32D0" w:rsidRPr="009B32D0" w:rsidRDefault="009B32D0" w:rsidP="009B32D0">
      <w:pPr>
        <w:jc w:val="both"/>
        <w:rPr>
          <w:rFonts w:ascii="Times New Roman" w:hAnsi="Times New Roman" w:cs="Times New Roman"/>
          <w:sz w:val="22"/>
          <w:lang w:val="fr-FR"/>
        </w:rPr>
      </w:pPr>
      <w:r w:rsidRPr="009B32D0">
        <w:rPr>
          <w:rFonts w:ascii="Times New Roman" w:hAnsi="Times New Roman" w:cs="Times New Roman"/>
          <w:sz w:val="22"/>
          <w:lang w:val="fr-FR"/>
        </w:rPr>
        <w:t>L’analyse débute par un filtrage des données selon l’année choisie, afin de se concentrer uniquement sur les informations pertinentes pour la période d’étude. Les données sont extraites en fonction de la valeur de la colonne 'ANNEE', après nettoyage des éventuels espaces ou incohérences de format.</w:t>
      </w:r>
    </w:p>
    <w:p w14:paraId="58BAB800" w14:textId="77777777" w:rsidR="009B32D0" w:rsidRPr="009B32D0" w:rsidRDefault="009B32D0" w:rsidP="009B32D0">
      <w:pPr>
        <w:jc w:val="both"/>
        <w:rPr>
          <w:rFonts w:ascii="Times New Roman" w:hAnsi="Times New Roman" w:cs="Times New Roman"/>
          <w:sz w:val="22"/>
          <w:lang w:val="fr-FR"/>
        </w:rPr>
      </w:pPr>
      <w:r w:rsidRPr="009B32D0">
        <w:rPr>
          <w:rFonts w:ascii="Times New Roman" w:hAnsi="Times New Roman" w:cs="Times New Roman"/>
          <w:sz w:val="22"/>
          <w:lang w:val="fr-FR"/>
        </w:rPr>
        <w:t>Une fois les données de l’année ciblée isolées, un prétraitement est appliqué pour garantir leur qualité et leur fiabilité. Cette étape inclut notamment la gestion des valeurs manquantes, la conversion des types de données, et la sélection des variables pertinentes pour l’analyse.</w:t>
      </w:r>
    </w:p>
    <w:p w14:paraId="0E31C94C" w14:textId="77777777" w:rsidR="009B32D0" w:rsidRPr="009B32D0" w:rsidRDefault="009B32D0" w:rsidP="009B32D0">
      <w:pPr>
        <w:jc w:val="both"/>
        <w:rPr>
          <w:rFonts w:ascii="Times New Roman" w:hAnsi="Times New Roman" w:cs="Times New Roman"/>
          <w:sz w:val="22"/>
          <w:lang w:val="fr-FR"/>
        </w:rPr>
      </w:pPr>
      <w:r w:rsidRPr="009B32D0">
        <w:rPr>
          <w:rFonts w:ascii="Times New Roman" w:hAnsi="Times New Roman" w:cs="Times New Roman"/>
          <w:sz w:val="22"/>
          <w:lang w:val="fr-FR"/>
        </w:rPr>
        <w:t>Avant d’appliquer des méthodes statistiques telles que l’Analyse en Composantes Principales (ACP), les données numériques sont standardisées. Chaque variable est transformée pour avoir une moyenne égale à 0 et un écart-type égal à 1, ce qui permet d’éliminer les effets d’échelle et de garantir une comparaison équitable entre les critères.</w:t>
      </w:r>
    </w:p>
    <w:p w14:paraId="1A7FC4AC" w14:textId="670355E3" w:rsidR="003C0217" w:rsidRPr="00E51F3E" w:rsidRDefault="009B32D0" w:rsidP="00E51F3E">
      <w:pPr>
        <w:jc w:val="both"/>
        <w:rPr>
          <w:rFonts w:ascii="Times New Roman" w:hAnsi="Times New Roman" w:cs="Times New Roman"/>
          <w:sz w:val="22"/>
          <w:lang w:val="fr-FR"/>
        </w:rPr>
      </w:pPr>
      <w:r w:rsidRPr="009B32D0">
        <w:rPr>
          <w:rFonts w:ascii="Times New Roman" w:hAnsi="Times New Roman" w:cs="Times New Roman"/>
          <w:sz w:val="22"/>
          <w:lang w:val="fr-FR"/>
        </w:rPr>
        <w:t>Cette standardisation est essentielle pour éviter que certaines variables, en raison de leurs unités ou de leur amplitude, ne biaisent les résultats de l’analyse.</w:t>
      </w:r>
    </w:p>
    <w:p w14:paraId="6AC1EDF8" w14:textId="77777777" w:rsidR="00DF1B04" w:rsidRPr="0058432E" w:rsidRDefault="00DF1B04" w:rsidP="0058432E">
      <w:pPr>
        <w:jc w:val="both"/>
        <w:rPr>
          <w:rFonts w:ascii="Times New Roman" w:hAnsi="Times New Roman" w:cs="Times New Roman"/>
          <w:b/>
          <w:bCs/>
          <w:lang w:val="fr-FR"/>
        </w:rPr>
      </w:pPr>
      <w:r w:rsidRPr="0058432E">
        <w:rPr>
          <w:rFonts w:ascii="Times New Roman" w:hAnsi="Times New Roman" w:cs="Times New Roman"/>
          <w:b/>
          <w:bCs/>
          <w:lang w:val="fr-FR"/>
        </w:rPr>
        <w:t>5. Analyse en Composantes Principales (ACP)</w:t>
      </w:r>
    </w:p>
    <w:p w14:paraId="2CD32D1E" w14:textId="2435EE10" w:rsidR="00DF1B04" w:rsidRPr="0058432E" w:rsidRDefault="00C93C7A" w:rsidP="0058432E">
      <w:pPr>
        <w:jc w:val="both"/>
        <w:rPr>
          <w:rFonts w:ascii="Times New Roman" w:hAnsi="Times New Roman" w:cs="Times New Roman"/>
          <w:lang w:val="fr-FR"/>
        </w:rPr>
      </w:pPr>
      <w:r w:rsidRPr="0058432E">
        <w:rPr>
          <w:rFonts w:ascii="Times New Roman" w:hAnsi="Times New Roman" w:cs="Times New Roman"/>
          <w:sz w:val="22"/>
          <w:lang w:val="fr-FR"/>
        </w:rPr>
        <w:t>Un ACP initial</w:t>
      </w:r>
      <w:r w:rsidR="00DF1B04" w:rsidRPr="0058432E">
        <w:rPr>
          <w:rFonts w:ascii="Times New Roman" w:hAnsi="Times New Roman" w:cs="Times New Roman"/>
          <w:sz w:val="22"/>
          <w:lang w:val="fr-FR"/>
        </w:rPr>
        <w:t xml:space="preserve"> est </w:t>
      </w:r>
      <w:r w:rsidRPr="0058432E">
        <w:rPr>
          <w:rFonts w:ascii="Times New Roman" w:hAnsi="Times New Roman" w:cs="Times New Roman"/>
          <w:sz w:val="22"/>
          <w:lang w:val="fr-FR"/>
        </w:rPr>
        <w:t>réalisé</w:t>
      </w:r>
      <w:r w:rsidR="00DF1B04" w:rsidRPr="0058432E">
        <w:rPr>
          <w:rFonts w:ascii="Times New Roman" w:hAnsi="Times New Roman" w:cs="Times New Roman"/>
          <w:sz w:val="22"/>
          <w:lang w:val="fr-FR"/>
        </w:rPr>
        <w:t xml:space="preserve"> pour déterminer le nombre de composantes expliquant au moins 80% de la variance. </w:t>
      </w:r>
      <w:r w:rsidRPr="0058432E">
        <w:rPr>
          <w:rFonts w:ascii="Times New Roman" w:hAnsi="Times New Roman" w:cs="Times New Roman"/>
          <w:sz w:val="22"/>
          <w:lang w:val="fr-FR"/>
        </w:rPr>
        <w:t>Un ACP final</w:t>
      </w:r>
      <w:r w:rsidR="00DF1B04" w:rsidRPr="0058432E">
        <w:rPr>
          <w:rFonts w:ascii="Times New Roman" w:hAnsi="Times New Roman" w:cs="Times New Roman"/>
          <w:sz w:val="22"/>
          <w:lang w:val="fr-FR"/>
        </w:rPr>
        <w:t xml:space="preserve"> est ensuite </w:t>
      </w:r>
      <w:proofErr w:type="gramStart"/>
      <w:r w:rsidR="00DF1B04" w:rsidRPr="0058432E">
        <w:rPr>
          <w:rFonts w:ascii="Times New Roman" w:hAnsi="Times New Roman" w:cs="Times New Roman"/>
          <w:sz w:val="22"/>
          <w:lang w:val="fr-FR"/>
        </w:rPr>
        <w:t>effectuée</w:t>
      </w:r>
      <w:proofErr w:type="gramEnd"/>
      <w:r w:rsidR="00DF1B04" w:rsidRPr="0058432E">
        <w:rPr>
          <w:rFonts w:ascii="Times New Roman" w:hAnsi="Times New Roman" w:cs="Times New Roman"/>
          <w:sz w:val="22"/>
          <w:lang w:val="fr-FR"/>
        </w:rPr>
        <w:t xml:space="preserve"> avec ce nombre optimal de composantes.</w:t>
      </w:r>
    </w:p>
    <w:p w14:paraId="3C76B290" w14:textId="77777777" w:rsidR="00DF1B04" w:rsidRPr="0058432E" w:rsidRDefault="00DF1B04" w:rsidP="0058432E">
      <w:pPr>
        <w:jc w:val="both"/>
        <w:rPr>
          <w:rFonts w:ascii="Times New Roman" w:hAnsi="Times New Roman" w:cs="Times New Roman"/>
          <w:b/>
          <w:bCs/>
          <w:lang w:val="fr-FR"/>
        </w:rPr>
      </w:pPr>
      <w:r w:rsidRPr="0058432E">
        <w:rPr>
          <w:rFonts w:ascii="Times New Roman" w:hAnsi="Times New Roman" w:cs="Times New Roman"/>
          <w:b/>
          <w:bCs/>
          <w:lang w:val="fr-FR"/>
        </w:rPr>
        <w:t>6. Extraction des Coefficients Dominants</w:t>
      </w:r>
    </w:p>
    <w:p w14:paraId="622259C5" w14:textId="77777777" w:rsidR="004173AD" w:rsidRPr="004173AD" w:rsidRDefault="004173AD" w:rsidP="004173AD">
      <w:pPr>
        <w:jc w:val="both"/>
        <w:rPr>
          <w:rFonts w:ascii="Times New Roman" w:hAnsi="Times New Roman" w:cs="Times New Roman"/>
          <w:sz w:val="22"/>
          <w:lang w:val="fr-FR"/>
        </w:rPr>
      </w:pPr>
      <w:r w:rsidRPr="004173AD">
        <w:rPr>
          <w:rFonts w:ascii="Times New Roman" w:hAnsi="Times New Roman" w:cs="Times New Roman"/>
          <w:sz w:val="22"/>
          <w:lang w:val="fr-FR"/>
        </w:rPr>
        <w:t>Après avoir appliqué l’Analyse en Composantes Principales (ACP), on extrait les coefficients de contribution (ou "</w:t>
      </w:r>
      <w:proofErr w:type="spellStart"/>
      <w:r w:rsidRPr="004173AD">
        <w:rPr>
          <w:rFonts w:ascii="Times New Roman" w:hAnsi="Times New Roman" w:cs="Times New Roman"/>
          <w:sz w:val="22"/>
          <w:lang w:val="fr-FR"/>
        </w:rPr>
        <w:t>loadings</w:t>
      </w:r>
      <w:proofErr w:type="spellEnd"/>
      <w:r w:rsidRPr="004173AD">
        <w:rPr>
          <w:rFonts w:ascii="Times New Roman" w:hAnsi="Times New Roman" w:cs="Times New Roman"/>
          <w:sz w:val="22"/>
          <w:lang w:val="fr-FR"/>
        </w:rPr>
        <w:t>") de chaque critère dans les composantes principales. Ces coefficients indiquent dans quelle mesure chaque variable contribue à la formation des composantes.</w:t>
      </w:r>
    </w:p>
    <w:p w14:paraId="5ADAD765" w14:textId="77777777" w:rsidR="004173AD" w:rsidRPr="004173AD" w:rsidRDefault="004173AD" w:rsidP="004173AD">
      <w:pPr>
        <w:jc w:val="both"/>
        <w:rPr>
          <w:rFonts w:ascii="Times New Roman" w:hAnsi="Times New Roman" w:cs="Times New Roman"/>
          <w:sz w:val="22"/>
          <w:lang w:val="fr-FR"/>
        </w:rPr>
      </w:pPr>
      <w:r w:rsidRPr="004173AD">
        <w:rPr>
          <w:rFonts w:ascii="Times New Roman" w:hAnsi="Times New Roman" w:cs="Times New Roman"/>
          <w:sz w:val="22"/>
          <w:lang w:val="fr-FR"/>
        </w:rPr>
        <w:lastRenderedPageBreak/>
        <w:t>Pour chaque critère, on identifie le coefficient dominant, c’est-à-dire celui associé à la composante principale dans laquelle il a le plus d’influence. Ce coefficient sera utilisé comme poids dans le calcul des scores pondérés.</w:t>
      </w:r>
    </w:p>
    <w:p w14:paraId="55C7B622" w14:textId="77777777" w:rsidR="00DF1B04" w:rsidRPr="0058432E" w:rsidRDefault="00DF1B04" w:rsidP="0058432E">
      <w:pPr>
        <w:jc w:val="both"/>
        <w:rPr>
          <w:rFonts w:ascii="Times New Roman" w:hAnsi="Times New Roman" w:cs="Times New Roman"/>
          <w:b/>
          <w:bCs/>
          <w:lang w:val="fr-FR"/>
        </w:rPr>
      </w:pPr>
      <w:r w:rsidRPr="0058432E">
        <w:rPr>
          <w:rFonts w:ascii="Times New Roman" w:hAnsi="Times New Roman" w:cs="Times New Roman"/>
          <w:b/>
          <w:bCs/>
          <w:lang w:val="fr-FR"/>
        </w:rPr>
        <w:t>8. Définition des Piliers Thématiques</w:t>
      </w:r>
    </w:p>
    <w:p w14:paraId="69A30CD1" w14:textId="77777777" w:rsidR="00DF1B04" w:rsidRPr="0058432E" w:rsidRDefault="00DF1B04" w:rsidP="0058432E">
      <w:pPr>
        <w:jc w:val="both"/>
        <w:rPr>
          <w:rFonts w:ascii="Times New Roman" w:hAnsi="Times New Roman" w:cs="Times New Roman"/>
          <w:lang w:val="fr-FR"/>
        </w:rPr>
      </w:pPr>
      <w:r w:rsidRPr="0058432E">
        <w:rPr>
          <w:rFonts w:ascii="Times New Roman" w:hAnsi="Times New Roman" w:cs="Times New Roman"/>
          <w:sz w:val="22"/>
          <w:lang w:val="fr-FR"/>
        </w:rPr>
        <w:t>Les critères sont regroupés en quatre piliers : Structure du Système Bancaire, Mobilisation de l’Épargne, Distribution du Crédit, et Macroéconomique.</w:t>
      </w:r>
    </w:p>
    <w:p w14:paraId="2F2F9F4B" w14:textId="3FAB2ECC" w:rsidR="00DF1B04" w:rsidRPr="0058432E" w:rsidRDefault="00DF1B04" w:rsidP="0058432E">
      <w:pPr>
        <w:jc w:val="both"/>
        <w:rPr>
          <w:rFonts w:ascii="Times New Roman" w:hAnsi="Times New Roman" w:cs="Times New Roman"/>
          <w:b/>
          <w:bCs/>
          <w:lang w:val="fr-FR"/>
        </w:rPr>
      </w:pPr>
      <w:r w:rsidRPr="0058432E">
        <w:rPr>
          <w:rFonts w:ascii="Times New Roman" w:hAnsi="Times New Roman" w:cs="Times New Roman"/>
          <w:b/>
          <w:bCs/>
          <w:lang w:val="fr-FR"/>
        </w:rPr>
        <w:t xml:space="preserve">9. </w:t>
      </w:r>
      <w:r w:rsidR="008A1639" w:rsidRPr="0058432E">
        <w:rPr>
          <w:rFonts w:ascii="Times New Roman" w:hAnsi="Times New Roman" w:cs="Times New Roman"/>
          <w:b/>
          <w:bCs/>
          <w:lang w:val="fr-FR"/>
        </w:rPr>
        <w:t>Calcul des Scores</w:t>
      </w:r>
      <w:r w:rsidR="008A1639">
        <w:rPr>
          <w:rFonts w:ascii="Times New Roman" w:hAnsi="Times New Roman" w:cs="Times New Roman"/>
          <w:b/>
          <w:bCs/>
          <w:lang w:val="fr-FR"/>
        </w:rPr>
        <w:t xml:space="preserve"> critères </w:t>
      </w:r>
    </w:p>
    <w:p w14:paraId="6B65FAF4" w14:textId="03B7D62C" w:rsidR="00FC454C" w:rsidRPr="00FC454C" w:rsidRDefault="00FC454C" w:rsidP="00FC454C">
      <w:pPr>
        <w:rPr>
          <w:rFonts w:ascii="Times New Roman" w:hAnsi="Times New Roman" w:cs="Times New Roman"/>
          <w:sz w:val="22"/>
          <w:lang w:val="fr-FR"/>
        </w:rPr>
      </w:pPr>
      <w:r w:rsidRPr="00FC454C">
        <w:rPr>
          <w:rFonts w:ascii="Times New Roman" w:hAnsi="Times New Roman" w:cs="Times New Roman"/>
          <w:sz w:val="22"/>
          <w:lang w:val="fr-FR"/>
        </w:rPr>
        <w:t>Chaque critère est associé à un coefficient ACP dominant, qui reflète son poids ou son importance dans la composante principale retenue.</w:t>
      </w:r>
      <w:r w:rsidRPr="00FC454C">
        <w:rPr>
          <w:rFonts w:ascii="Times New Roman" w:hAnsi="Times New Roman" w:cs="Times New Roman"/>
          <w:sz w:val="22"/>
          <w:lang w:val="fr-FR"/>
        </w:rPr>
        <w:br/>
        <w:t xml:space="preserve">Ainsi, pour chaque pays, on effectue une multiplication entre la valeur du critère </w:t>
      </w:r>
      <w:r w:rsidR="00EB4181">
        <w:rPr>
          <w:rFonts w:ascii="Times New Roman" w:hAnsi="Times New Roman" w:cs="Times New Roman"/>
          <w:sz w:val="22"/>
          <w:lang w:val="fr-FR"/>
        </w:rPr>
        <w:t>standar</w:t>
      </w:r>
      <w:r w:rsidR="00E35F03">
        <w:rPr>
          <w:rFonts w:ascii="Times New Roman" w:hAnsi="Times New Roman" w:cs="Times New Roman"/>
          <w:sz w:val="22"/>
          <w:lang w:val="fr-FR"/>
        </w:rPr>
        <w:t xml:space="preserve">disé </w:t>
      </w:r>
      <w:r w:rsidR="00FA4017">
        <w:rPr>
          <w:rFonts w:ascii="Times New Roman" w:hAnsi="Times New Roman" w:cs="Times New Roman"/>
          <w:sz w:val="22"/>
          <w:lang w:val="fr-FR"/>
        </w:rPr>
        <w:t xml:space="preserve">de chaque pays </w:t>
      </w:r>
      <w:r w:rsidRPr="00FC454C">
        <w:rPr>
          <w:rFonts w:ascii="Times New Roman" w:hAnsi="Times New Roman" w:cs="Times New Roman"/>
          <w:sz w:val="22"/>
          <w:lang w:val="fr-FR"/>
        </w:rPr>
        <w:t>et son coefficient ACP, ce qui permet de pondérer l’information selon sa contribution à la variance globale.</w:t>
      </w:r>
    </w:p>
    <w:p w14:paraId="5AFBBB6E" w14:textId="4F82E3B2" w:rsidR="00DF1B04" w:rsidRPr="0058432E" w:rsidRDefault="00DF1B04" w:rsidP="0058432E">
      <w:pPr>
        <w:jc w:val="both"/>
        <w:rPr>
          <w:rFonts w:ascii="Times New Roman" w:hAnsi="Times New Roman" w:cs="Times New Roman"/>
          <w:b/>
          <w:bCs/>
          <w:lang w:val="fr-FR"/>
        </w:rPr>
      </w:pPr>
      <w:r w:rsidRPr="0058432E">
        <w:rPr>
          <w:rFonts w:ascii="Times New Roman" w:hAnsi="Times New Roman" w:cs="Times New Roman"/>
          <w:b/>
          <w:bCs/>
          <w:lang w:val="fr-FR"/>
        </w:rPr>
        <w:t>10. Calcul des Scores Normalisés</w:t>
      </w:r>
    </w:p>
    <w:p w14:paraId="4C530711" w14:textId="77777777" w:rsidR="000D1CFF" w:rsidRPr="000D1CFF" w:rsidRDefault="000D1CFF" w:rsidP="0058432E">
      <w:pPr>
        <w:jc w:val="both"/>
        <w:rPr>
          <w:rFonts w:ascii="Times New Roman" w:hAnsi="Times New Roman" w:cs="Times New Roman"/>
          <w:sz w:val="22"/>
          <w:lang w:val="fr-FR"/>
        </w:rPr>
      </w:pPr>
      <w:r w:rsidRPr="000D1CFF">
        <w:rPr>
          <w:rFonts w:ascii="Times New Roman" w:hAnsi="Times New Roman" w:cs="Times New Roman"/>
          <w:sz w:val="22"/>
          <w:lang w:val="fr-FR"/>
        </w:rPr>
        <w:t>Le score de chaque critère est normalisé sur une échelle de 0 à 100, afin de garantir une comparaison équitable entre les pays, indépendamment des unités de mesure ou des écarts de valeurs.</w:t>
      </w:r>
      <w:r w:rsidRPr="000D1CFF">
        <w:rPr>
          <w:rFonts w:ascii="Times New Roman" w:hAnsi="Times New Roman" w:cs="Times New Roman"/>
          <w:sz w:val="22"/>
          <w:lang w:val="fr-FR"/>
        </w:rPr>
        <w:br/>
        <w:t>Cette normalisation permet d’uniformiser les résultats, de faciliter leur interprétation et d’éviter que certains critères ne biaisent l’analyse en raison de leur amplitude ou de leur distribution.</w:t>
      </w:r>
    </w:p>
    <w:p w14:paraId="218A2B95" w14:textId="78FAB44E" w:rsidR="00DF1B04" w:rsidRPr="0058432E" w:rsidRDefault="00DF1B04" w:rsidP="0058432E">
      <w:pPr>
        <w:jc w:val="both"/>
        <w:rPr>
          <w:rFonts w:ascii="Times New Roman" w:hAnsi="Times New Roman" w:cs="Times New Roman"/>
          <w:b/>
          <w:bCs/>
          <w:lang w:val="fr-FR"/>
        </w:rPr>
      </w:pPr>
      <w:r w:rsidRPr="0058432E">
        <w:rPr>
          <w:rFonts w:ascii="Times New Roman" w:hAnsi="Times New Roman" w:cs="Times New Roman"/>
          <w:b/>
          <w:bCs/>
          <w:lang w:val="fr-FR"/>
        </w:rPr>
        <w:t xml:space="preserve">11. </w:t>
      </w:r>
      <w:r w:rsidR="00FA4017" w:rsidRPr="0058432E">
        <w:rPr>
          <w:rFonts w:ascii="Times New Roman" w:hAnsi="Times New Roman" w:cs="Times New Roman"/>
          <w:b/>
          <w:bCs/>
          <w:lang w:val="fr-FR"/>
        </w:rPr>
        <w:t>Score</w:t>
      </w:r>
      <w:r w:rsidRPr="0058432E">
        <w:rPr>
          <w:rFonts w:ascii="Times New Roman" w:hAnsi="Times New Roman" w:cs="Times New Roman"/>
          <w:b/>
          <w:bCs/>
          <w:lang w:val="fr-FR"/>
        </w:rPr>
        <w:t xml:space="preserve"> par Pilier et Pondération</w:t>
      </w:r>
    </w:p>
    <w:p w14:paraId="7791F81A" w14:textId="77777777" w:rsidR="0092114A" w:rsidRDefault="0092114A" w:rsidP="0092114A">
      <w:pPr>
        <w:jc w:val="both"/>
        <w:rPr>
          <w:rFonts w:ascii="Times New Roman" w:hAnsi="Times New Roman" w:cs="Times New Roman"/>
          <w:sz w:val="22"/>
          <w:lang w:val="fr-FR"/>
        </w:rPr>
      </w:pPr>
      <w:r w:rsidRPr="0092114A">
        <w:rPr>
          <w:rFonts w:ascii="Times New Roman" w:hAnsi="Times New Roman" w:cs="Times New Roman"/>
          <w:sz w:val="22"/>
          <w:lang w:val="fr-FR"/>
        </w:rPr>
        <w:t>Pour chaque pays, les scores des critères appartenant à un même pilier sont d’abord additionnés afin d’obtenir un score global par pilier.</w:t>
      </w:r>
    </w:p>
    <w:p w14:paraId="5B086E45" w14:textId="5455B873" w:rsidR="0092114A" w:rsidRPr="0092114A" w:rsidRDefault="0092114A" w:rsidP="0092114A">
      <w:pPr>
        <w:jc w:val="both"/>
        <w:rPr>
          <w:rFonts w:ascii="Times New Roman" w:hAnsi="Times New Roman" w:cs="Times New Roman"/>
          <w:sz w:val="22"/>
          <w:lang w:val="fr-FR"/>
        </w:rPr>
      </w:pPr>
      <w:r w:rsidRPr="0092114A">
        <w:rPr>
          <w:rFonts w:ascii="Times New Roman" w:hAnsi="Times New Roman" w:cs="Times New Roman"/>
          <w:sz w:val="22"/>
          <w:lang w:val="fr-FR"/>
        </w:rPr>
        <w:t>Ensuite, cette somme est multipliée par la pondération attribuée à ce pilier, propre à chaque pays, afin de refléter l’importance relative du pilier dans l’évaluation globale.</w:t>
      </w:r>
    </w:p>
    <w:p w14:paraId="160E3AE3" w14:textId="77777777" w:rsidR="00DF1B04" w:rsidRPr="0058432E" w:rsidRDefault="00DF1B04" w:rsidP="0058432E">
      <w:pPr>
        <w:jc w:val="both"/>
        <w:rPr>
          <w:rFonts w:ascii="Times New Roman" w:hAnsi="Times New Roman" w:cs="Times New Roman"/>
          <w:b/>
          <w:bCs/>
          <w:lang w:val="fr-FR"/>
        </w:rPr>
      </w:pPr>
      <w:r w:rsidRPr="0058432E">
        <w:rPr>
          <w:rFonts w:ascii="Times New Roman" w:hAnsi="Times New Roman" w:cs="Times New Roman"/>
          <w:b/>
          <w:bCs/>
          <w:lang w:val="fr-FR"/>
        </w:rPr>
        <w:t>12. Calcul du Score Global et Attribution de la Notation</w:t>
      </w:r>
    </w:p>
    <w:p w14:paraId="0E2A5772" w14:textId="77777777" w:rsidR="00EF0652" w:rsidRPr="00EF0652" w:rsidRDefault="00EF0652" w:rsidP="0058432E">
      <w:pPr>
        <w:jc w:val="both"/>
        <w:rPr>
          <w:rFonts w:ascii="Times New Roman" w:hAnsi="Times New Roman" w:cs="Times New Roman"/>
          <w:sz w:val="22"/>
          <w:lang w:val="fr-FR"/>
        </w:rPr>
      </w:pPr>
      <w:r w:rsidRPr="00EF0652">
        <w:rPr>
          <w:rFonts w:ascii="Times New Roman" w:hAnsi="Times New Roman" w:cs="Times New Roman"/>
          <w:sz w:val="22"/>
          <w:lang w:val="fr-FR"/>
        </w:rPr>
        <w:t>Le score global d’un pays est obtenu en additionnant les scores de tous les piliers.</w:t>
      </w:r>
      <w:r w:rsidRPr="00EF0652">
        <w:rPr>
          <w:rFonts w:ascii="Times New Roman" w:hAnsi="Times New Roman" w:cs="Times New Roman"/>
          <w:sz w:val="22"/>
          <w:lang w:val="fr-FR"/>
        </w:rPr>
        <w:br/>
        <w:t>Chaque pilier ayant été préalablement pondéré selon son importance, le score global reflète à la fois la performance du pays sur chaque thématique et la structure pondérée de l’évaluation.</w:t>
      </w:r>
    </w:p>
    <w:p w14:paraId="3AF5E657" w14:textId="0C3952CE" w:rsidR="00DF1B04" w:rsidRPr="0058432E" w:rsidRDefault="00DF1B04" w:rsidP="0058432E">
      <w:pPr>
        <w:jc w:val="both"/>
        <w:rPr>
          <w:rFonts w:ascii="Times New Roman" w:hAnsi="Times New Roman" w:cs="Times New Roman"/>
          <w:lang w:val="fr-FR"/>
        </w:rPr>
      </w:pPr>
      <w:r w:rsidRPr="0058432E">
        <w:rPr>
          <w:rFonts w:ascii="Times New Roman" w:hAnsi="Times New Roman" w:cs="Times New Roman"/>
          <w:sz w:val="22"/>
          <w:lang w:val="fr-FR"/>
        </w:rPr>
        <w:t>Une notation est attribuée selon le score : AAA (Excellent) à CCC (Très faible).</w:t>
      </w:r>
    </w:p>
    <w:p w14:paraId="7960AAA7" w14:textId="77777777" w:rsidR="00C43BEF" w:rsidRPr="0058432E" w:rsidRDefault="00C43BEF" w:rsidP="0058432E">
      <w:pPr>
        <w:numPr>
          <w:ilvl w:val="0"/>
          <w:numId w:val="3"/>
        </w:numPr>
        <w:jc w:val="both"/>
        <w:rPr>
          <w:rFonts w:ascii="Times New Roman" w:hAnsi="Times New Roman" w:cs="Times New Roman"/>
        </w:rPr>
      </w:pPr>
      <w:r w:rsidRPr="0058432E">
        <w:rPr>
          <w:rFonts w:ascii="Times New Roman" w:hAnsi="Times New Roman" w:cs="Times New Roman"/>
          <w:b/>
          <w:bCs/>
        </w:rPr>
        <w:t>Attribution de la notation</w:t>
      </w:r>
    </w:p>
    <w:p w14:paraId="6FFA9222" w14:textId="77777777" w:rsidR="005B72C8" w:rsidRPr="0058432E" w:rsidRDefault="005B72C8" w:rsidP="005B72C8">
      <w:pPr>
        <w:numPr>
          <w:ilvl w:val="1"/>
          <w:numId w:val="3"/>
        </w:numPr>
        <w:jc w:val="both"/>
        <w:rPr>
          <w:rFonts w:ascii="Times New Roman" w:hAnsi="Times New Roman" w:cs="Times New Roman"/>
          <w:lang w:val="fr-FR"/>
        </w:rPr>
      </w:pPr>
      <w:r w:rsidRPr="0058432E">
        <w:rPr>
          <w:rFonts w:ascii="Times New Roman" w:hAnsi="Times New Roman" w:cs="Times New Roman"/>
          <w:lang w:val="fr-FR"/>
        </w:rPr>
        <w:t xml:space="preserve">Grille inspirée de Standard &amp; </w:t>
      </w:r>
      <w:proofErr w:type="spellStart"/>
      <w:r w:rsidRPr="0058432E">
        <w:rPr>
          <w:rFonts w:ascii="Times New Roman" w:hAnsi="Times New Roman" w:cs="Times New Roman"/>
          <w:lang w:val="fr-FR"/>
        </w:rPr>
        <w:t>Poor’s</w:t>
      </w:r>
      <w:proofErr w:type="spellEnd"/>
      <w:r w:rsidRPr="0058432E">
        <w:rPr>
          <w:rFonts w:ascii="Times New Roman" w:hAnsi="Times New Roman" w:cs="Times New Roman"/>
          <w:lang w:val="fr-FR"/>
        </w:rPr>
        <w:t xml:space="preserve"> :</w:t>
      </w:r>
      <w:r>
        <w:rPr>
          <w:rFonts w:ascii="Times New Roman" w:hAnsi="Times New Roman" w:cs="Times New Roman"/>
          <w:lang w:val="fr-FR"/>
        </w:rPr>
        <w:t xml:space="preserve"> Exemple</w:t>
      </w:r>
    </w:p>
    <w:tbl>
      <w:tblPr>
        <w:tblStyle w:val="Grilledutableau"/>
        <w:tblW w:w="0" w:type="auto"/>
        <w:tblInd w:w="720" w:type="dxa"/>
        <w:tblLook w:val="04A0" w:firstRow="1" w:lastRow="0" w:firstColumn="1" w:lastColumn="0" w:noHBand="0" w:noVBand="1"/>
      </w:tblPr>
      <w:tblGrid>
        <w:gridCol w:w="2892"/>
        <w:gridCol w:w="2892"/>
        <w:gridCol w:w="2892"/>
      </w:tblGrid>
      <w:tr w:rsidR="005B72C8" w:rsidRPr="0058432E" w14:paraId="3F36EE91" w14:textId="77777777" w:rsidTr="00A90B98">
        <w:tc>
          <w:tcPr>
            <w:tcW w:w="2892" w:type="dxa"/>
          </w:tcPr>
          <w:p w14:paraId="7AC51909" w14:textId="77777777" w:rsidR="005B72C8" w:rsidRPr="0058432E" w:rsidRDefault="005B72C8" w:rsidP="00A90B98">
            <w:pPr>
              <w:jc w:val="both"/>
              <w:rPr>
                <w:rFonts w:ascii="Times New Roman" w:hAnsi="Times New Roman" w:cs="Times New Roman"/>
              </w:rPr>
            </w:pPr>
            <w:r w:rsidRPr="0058432E">
              <w:rPr>
                <w:rFonts w:ascii="Times New Roman" w:hAnsi="Times New Roman" w:cs="Times New Roman"/>
                <w:b/>
                <w:bCs/>
              </w:rPr>
              <w:t>Score Global</w:t>
            </w:r>
          </w:p>
        </w:tc>
        <w:tc>
          <w:tcPr>
            <w:tcW w:w="2892" w:type="dxa"/>
          </w:tcPr>
          <w:p w14:paraId="765E63AE" w14:textId="77777777" w:rsidR="005B72C8" w:rsidRPr="0058432E" w:rsidRDefault="005B72C8" w:rsidP="00A90B98">
            <w:pPr>
              <w:jc w:val="both"/>
              <w:rPr>
                <w:rFonts w:ascii="Times New Roman" w:hAnsi="Times New Roman" w:cs="Times New Roman"/>
              </w:rPr>
            </w:pPr>
            <w:r w:rsidRPr="0058432E">
              <w:rPr>
                <w:rFonts w:ascii="Times New Roman" w:hAnsi="Times New Roman" w:cs="Times New Roman"/>
                <w:b/>
                <w:bCs/>
              </w:rPr>
              <w:t>Notation</w:t>
            </w:r>
          </w:p>
        </w:tc>
        <w:tc>
          <w:tcPr>
            <w:tcW w:w="2892" w:type="dxa"/>
            <w:vAlign w:val="center"/>
          </w:tcPr>
          <w:p w14:paraId="1E22FC54" w14:textId="77777777" w:rsidR="005B72C8" w:rsidRPr="0058432E" w:rsidRDefault="005B72C8" w:rsidP="00A90B98">
            <w:pPr>
              <w:jc w:val="both"/>
              <w:rPr>
                <w:rFonts w:ascii="Times New Roman" w:hAnsi="Times New Roman" w:cs="Times New Roman"/>
              </w:rPr>
            </w:pPr>
            <w:r w:rsidRPr="0058432E">
              <w:rPr>
                <w:rFonts w:ascii="Times New Roman" w:hAnsi="Times New Roman" w:cs="Times New Roman"/>
                <w:b/>
                <w:bCs/>
              </w:rPr>
              <w:t>Signification</w:t>
            </w:r>
          </w:p>
        </w:tc>
      </w:tr>
      <w:tr w:rsidR="005B72C8" w:rsidRPr="0058432E" w14:paraId="59062618" w14:textId="77777777" w:rsidTr="00A90B98">
        <w:tc>
          <w:tcPr>
            <w:tcW w:w="2892" w:type="dxa"/>
          </w:tcPr>
          <w:p w14:paraId="396B1887" w14:textId="77777777" w:rsidR="005B72C8" w:rsidRPr="0058432E" w:rsidRDefault="005B72C8" w:rsidP="00A90B98">
            <w:pPr>
              <w:jc w:val="both"/>
              <w:rPr>
                <w:rFonts w:ascii="Times New Roman" w:hAnsi="Times New Roman" w:cs="Times New Roman"/>
                <w:b/>
                <w:bCs/>
              </w:rPr>
            </w:pPr>
            <w:r>
              <w:rPr>
                <w:rFonts w:ascii="Times New Roman" w:hAnsi="Times New Roman" w:cs="Times New Roman"/>
                <w:b/>
                <w:bCs/>
              </w:rPr>
              <w:t>75 - 100</w:t>
            </w:r>
          </w:p>
        </w:tc>
        <w:tc>
          <w:tcPr>
            <w:tcW w:w="2892" w:type="dxa"/>
          </w:tcPr>
          <w:p w14:paraId="5C98C371" w14:textId="77777777" w:rsidR="005B72C8" w:rsidRPr="0058432E" w:rsidRDefault="005B72C8" w:rsidP="00A90B98">
            <w:pPr>
              <w:jc w:val="both"/>
              <w:rPr>
                <w:rFonts w:ascii="Times New Roman" w:hAnsi="Times New Roman" w:cs="Times New Roman"/>
                <w:b/>
                <w:bCs/>
              </w:rPr>
            </w:pPr>
            <w:r w:rsidRPr="0058432E">
              <w:rPr>
                <w:rFonts w:ascii="Times New Roman" w:hAnsi="Times New Roman" w:cs="Times New Roman"/>
              </w:rPr>
              <w:t>AAA</w:t>
            </w:r>
          </w:p>
        </w:tc>
        <w:tc>
          <w:tcPr>
            <w:tcW w:w="2892" w:type="dxa"/>
            <w:vAlign w:val="center"/>
          </w:tcPr>
          <w:p w14:paraId="6B8E9C11" w14:textId="77777777" w:rsidR="005B72C8" w:rsidRPr="0058432E" w:rsidRDefault="005B72C8" w:rsidP="00A90B98">
            <w:pPr>
              <w:jc w:val="both"/>
              <w:rPr>
                <w:rFonts w:ascii="Times New Roman" w:hAnsi="Times New Roman" w:cs="Times New Roman"/>
                <w:b/>
                <w:bCs/>
              </w:rPr>
            </w:pPr>
            <w:proofErr w:type="spellStart"/>
            <w:r w:rsidRPr="0058432E">
              <w:rPr>
                <w:rFonts w:ascii="Times New Roman" w:hAnsi="Times New Roman" w:cs="Times New Roman"/>
              </w:rPr>
              <w:t>Excellente</w:t>
            </w:r>
            <w:proofErr w:type="spellEnd"/>
            <w:r w:rsidRPr="0058432E">
              <w:rPr>
                <w:rFonts w:ascii="Times New Roman" w:hAnsi="Times New Roman" w:cs="Times New Roman"/>
              </w:rPr>
              <w:t xml:space="preserve"> </w:t>
            </w:r>
            <w:proofErr w:type="spellStart"/>
            <w:r w:rsidRPr="0058432E">
              <w:rPr>
                <w:rFonts w:ascii="Times New Roman" w:hAnsi="Times New Roman" w:cs="Times New Roman"/>
              </w:rPr>
              <w:t>qualité</w:t>
            </w:r>
            <w:proofErr w:type="spellEnd"/>
            <w:r w:rsidRPr="0058432E">
              <w:rPr>
                <w:rFonts w:ascii="Times New Roman" w:hAnsi="Times New Roman" w:cs="Times New Roman"/>
              </w:rPr>
              <w:t xml:space="preserve">, </w:t>
            </w:r>
            <w:proofErr w:type="spellStart"/>
            <w:r w:rsidRPr="0058432E">
              <w:rPr>
                <w:rFonts w:ascii="Times New Roman" w:hAnsi="Times New Roman" w:cs="Times New Roman"/>
              </w:rPr>
              <w:t>risque</w:t>
            </w:r>
            <w:proofErr w:type="spellEnd"/>
            <w:r w:rsidRPr="0058432E">
              <w:rPr>
                <w:rFonts w:ascii="Times New Roman" w:hAnsi="Times New Roman" w:cs="Times New Roman"/>
              </w:rPr>
              <w:t xml:space="preserve"> minimal</w:t>
            </w:r>
          </w:p>
        </w:tc>
      </w:tr>
      <w:tr w:rsidR="005B72C8" w:rsidRPr="002654D8" w14:paraId="55B6670E" w14:textId="77777777" w:rsidTr="00A90B98">
        <w:tc>
          <w:tcPr>
            <w:tcW w:w="2892" w:type="dxa"/>
          </w:tcPr>
          <w:p w14:paraId="5BF0528A" w14:textId="77777777" w:rsidR="005B72C8" w:rsidRPr="0058432E" w:rsidRDefault="005B72C8" w:rsidP="00A90B98">
            <w:pPr>
              <w:jc w:val="both"/>
              <w:rPr>
                <w:rFonts w:ascii="Times New Roman" w:hAnsi="Times New Roman" w:cs="Times New Roman"/>
              </w:rPr>
            </w:pPr>
            <w:r>
              <w:rPr>
                <w:rFonts w:ascii="Times New Roman" w:hAnsi="Times New Roman" w:cs="Times New Roman"/>
              </w:rPr>
              <w:t>50 - 75</w:t>
            </w:r>
          </w:p>
        </w:tc>
        <w:tc>
          <w:tcPr>
            <w:tcW w:w="2892" w:type="dxa"/>
          </w:tcPr>
          <w:p w14:paraId="2D9B6096" w14:textId="77777777" w:rsidR="005B72C8" w:rsidRPr="0058432E" w:rsidRDefault="005B72C8" w:rsidP="00A90B98">
            <w:pPr>
              <w:jc w:val="both"/>
              <w:rPr>
                <w:rFonts w:ascii="Times New Roman" w:hAnsi="Times New Roman" w:cs="Times New Roman"/>
              </w:rPr>
            </w:pPr>
            <w:r w:rsidRPr="0058432E">
              <w:rPr>
                <w:rFonts w:ascii="Times New Roman" w:hAnsi="Times New Roman" w:cs="Times New Roman"/>
              </w:rPr>
              <w:t>AA</w:t>
            </w:r>
            <w:r>
              <w:rPr>
                <w:rFonts w:ascii="Times New Roman" w:hAnsi="Times New Roman" w:cs="Times New Roman"/>
              </w:rPr>
              <w:t>-</w:t>
            </w:r>
          </w:p>
        </w:tc>
        <w:tc>
          <w:tcPr>
            <w:tcW w:w="2892" w:type="dxa"/>
          </w:tcPr>
          <w:p w14:paraId="3CD515E9" w14:textId="77777777" w:rsidR="005B72C8" w:rsidRPr="00F17DA3" w:rsidRDefault="005B72C8" w:rsidP="00A90B98">
            <w:pPr>
              <w:jc w:val="both"/>
              <w:rPr>
                <w:rFonts w:ascii="Times New Roman" w:hAnsi="Times New Roman" w:cs="Times New Roman"/>
                <w:lang w:val="fr-FR"/>
              </w:rPr>
            </w:pPr>
            <w:r w:rsidRPr="0058432E">
              <w:rPr>
                <w:rFonts w:ascii="Times New Roman" w:hAnsi="Times New Roman" w:cs="Times New Roman"/>
                <w:lang w:val="fr-FR"/>
              </w:rPr>
              <w:t>Très haute qualité, risque très faible</w:t>
            </w:r>
          </w:p>
        </w:tc>
      </w:tr>
      <w:tr w:rsidR="005B72C8" w:rsidRPr="00EB4181" w14:paraId="15C3B7C2" w14:textId="77777777" w:rsidTr="00A90B98">
        <w:tc>
          <w:tcPr>
            <w:tcW w:w="2892" w:type="dxa"/>
          </w:tcPr>
          <w:p w14:paraId="519C7501" w14:textId="77777777" w:rsidR="005B72C8" w:rsidRPr="0058432E" w:rsidRDefault="005B72C8" w:rsidP="00A90B98">
            <w:pPr>
              <w:jc w:val="both"/>
              <w:rPr>
                <w:rFonts w:ascii="Times New Roman" w:hAnsi="Times New Roman" w:cs="Times New Roman"/>
              </w:rPr>
            </w:pPr>
            <w:r>
              <w:rPr>
                <w:rFonts w:ascii="Times New Roman" w:hAnsi="Times New Roman" w:cs="Times New Roman"/>
              </w:rPr>
              <w:t>2</w:t>
            </w:r>
            <w:r w:rsidRPr="0058432E">
              <w:rPr>
                <w:rFonts w:ascii="Times New Roman" w:hAnsi="Times New Roman" w:cs="Times New Roman"/>
              </w:rPr>
              <w:t>5–</w:t>
            </w:r>
            <w:r>
              <w:rPr>
                <w:rFonts w:ascii="Times New Roman" w:hAnsi="Times New Roman" w:cs="Times New Roman"/>
              </w:rPr>
              <w:t>50</w:t>
            </w:r>
          </w:p>
        </w:tc>
        <w:tc>
          <w:tcPr>
            <w:tcW w:w="2892" w:type="dxa"/>
            <w:vAlign w:val="center"/>
          </w:tcPr>
          <w:p w14:paraId="7A4176EF" w14:textId="77777777" w:rsidR="005B72C8" w:rsidRPr="0058432E" w:rsidRDefault="005B72C8" w:rsidP="00A90B98">
            <w:pPr>
              <w:jc w:val="both"/>
              <w:rPr>
                <w:rFonts w:ascii="Times New Roman" w:hAnsi="Times New Roman" w:cs="Times New Roman"/>
              </w:rPr>
            </w:pPr>
            <w:r>
              <w:rPr>
                <w:rFonts w:ascii="Times New Roman" w:hAnsi="Times New Roman" w:cs="Times New Roman"/>
              </w:rPr>
              <w:t>B+</w:t>
            </w:r>
          </w:p>
        </w:tc>
        <w:tc>
          <w:tcPr>
            <w:tcW w:w="2892" w:type="dxa"/>
            <w:vAlign w:val="center"/>
          </w:tcPr>
          <w:p w14:paraId="3C7CAB48" w14:textId="77777777" w:rsidR="005B72C8" w:rsidRPr="0058432E" w:rsidRDefault="005B72C8" w:rsidP="00A90B98">
            <w:pPr>
              <w:jc w:val="both"/>
              <w:rPr>
                <w:rFonts w:ascii="Times New Roman" w:hAnsi="Times New Roman" w:cs="Times New Roman"/>
                <w:lang w:val="fr-FR"/>
              </w:rPr>
            </w:pPr>
            <w:r w:rsidRPr="0058432E">
              <w:rPr>
                <w:rFonts w:ascii="Times New Roman" w:hAnsi="Times New Roman" w:cs="Times New Roman"/>
              </w:rPr>
              <w:t xml:space="preserve">Risque </w:t>
            </w:r>
            <w:proofErr w:type="spellStart"/>
            <w:r w:rsidRPr="0058432E">
              <w:rPr>
                <w:rFonts w:ascii="Times New Roman" w:hAnsi="Times New Roman" w:cs="Times New Roman"/>
              </w:rPr>
              <w:t>extrêmement</w:t>
            </w:r>
            <w:proofErr w:type="spellEnd"/>
            <w:r w:rsidRPr="0058432E">
              <w:rPr>
                <w:rFonts w:ascii="Times New Roman" w:hAnsi="Times New Roman" w:cs="Times New Roman"/>
              </w:rPr>
              <w:t xml:space="preserve"> </w:t>
            </w:r>
            <w:proofErr w:type="spellStart"/>
            <w:r w:rsidRPr="0058432E">
              <w:rPr>
                <w:rFonts w:ascii="Times New Roman" w:hAnsi="Times New Roman" w:cs="Times New Roman"/>
              </w:rPr>
              <w:t>élevé</w:t>
            </w:r>
            <w:proofErr w:type="spellEnd"/>
          </w:p>
        </w:tc>
      </w:tr>
      <w:tr w:rsidR="005B72C8" w:rsidRPr="0058432E" w14:paraId="0DBCE889" w14:textId="77777777" w:rsidTr="00A90B98">
        <w:tc>
          <w:tcPr>
            <w:tcW w:w="2892" w:type="dxa"/>
          </w:tcPr>
          <w:p w14:paraId="106D55B6" w14:textId="77777777" w:rsidR="005B72C8" w:rsidRPr="0058432E" w:rsidRDefault="005B72C8" w:rsidP="00A90B98">
            <w:pPr>
              <w:jc w:val="both"/>
              <w:rPr>
                <w:rFonts w:ascii="Times New Roman" w:hAnsi="Times New Roman" w:cs="Times New Roman"/>
                <w:lang w:val="fr-FR"/>
              </w:rPr>
            </w:pPr>
            <w:r>
              <w:rPr>
                <w:rFonts w:ascii="Times New Roman" w:hAnsi="Times New Roman" w:cs="Times New Roman"/>
              </w:rPr>
              <w:lastRenderedPageBreak/>
              <w:t>0 –</w:t>
            </w:r>
            <w:r w:rsidRPr="0058432E">
              <w:rPr>
                <w:rFonts w:ascii="Times New Roman" w:hAnsi="Times New Roman" w:cs="Times New Roman"/>
              </w:rPr>
              <w:t xml:space="preserve"> 2</w:t>
            </w:r>
            <w:r>
              <w:rPr>
                <w:rFonts w:ascii="Times New Roman" w:hAnsi="Times New Roman" w:cs="Times New Roman"/>
              </w:rPr>
              <w:t>5</w:t>
            </w:r>
          </w:p>
        </w:tc>
        <w:tc>
          <w:tcPr>
            <w:tcW w:w="2892" w:type="dxa"/>
            <w:vAlign w:val="center"/>
          </w:tcPr>
          <w:p w14:paraId="4D7DDE7D" w14:textId="77777777" w:rsidR="005B72C8" w:rsidRPr="0058432E" w:rsidRDefault="005B72C8" w:rsidP="00A90B98">
            <w:pPr>
              <w:jc w:val="both"/>
              <w:rPr>
                <w:rFonts w:ascii="Times New Roman" w:hAnsi="Times New Roman" w:cs="Times New Roman"/>
                <w:lang w:val="fr-FR"/>
              </w:rPr>
            </w:pPr>
            <w:r>
              <w:rPr>
                <w:rFonts w:ascii="Times New Roman" w:hAnsi="Times New Roman" w:cs="Times New Roman"/>
                <w:lang w:val="fr-FR"/>
              </w:rPr>
              <w:t>D</w:t>
            </w:r>
          </w:p>
        </w:tc>
        <w:tc>
          <w:tcPr>
            <w:tcW w:w="2892" w:type="dxa"/>
            <w:vAlign w:val="center"/>
          </w:tcPr>
          <w:p w14:paraId="70CD442A" w14:textId="77777777" w:rsidR="005B72C8" w:rsidRPr="0058432E" w:rsidRDefault="005B72C8" w:rsidP="00A90B98">
            <w:pPr>
              <w:jc w:val="both"/>
              <w:rPr>
                <w:rFonts w:ascii="Times New Roman" w:hAnsi="Times New Roman" w:cs="Times New Roman"/>
                <w:lang w:val="fr-FR"/>
              </w:rPr>
            </w:pPr>
            <w:r w:rsidRPr="00F17DA3">
              <w:rPr>
                <w:rFonts w:ascii="Times New Roman" w:hAnsi="Times New Roman" w:cs="Times New Roman"/>
                <w:lang w:val="fr-FR"/>
              </w:rPr>
              <w:t>Défaut avéré</w:t>
            </w:r>
          </w:p>
        </w:tc>
      </w:tr>
    </w:tbl>
    <w:p w14:paraId="7849CF25" w14:textId="77777777" w:rsidR="00C43BEF" w:rsidRPr="0058432E" w:rsidRDefault="00C43BEF" w:rsidP="0058432E">
      <w:pPr>
        <w:jc w:val="both"/>
        <w:rPr>
          <w:rFonts w:ascii="Times New Roman" w:hAnsi="Times New Roman" w:cs="Times New Roman"/>
          <w:lang w:val="fr-FR"/>
        </w:rPr>
      </w:pPr>
    </w:p>
    <w:p w14:paraId="27E15BC5" w14:textId="77777777" w:rsidR="00AC0EC8" w:rsidRPr="0058432E" w:rsidRDefault="00AC0EC8" w:rsidP="0058432E">
      <w:pPr>
        <w:jc w:val="both"/>
        <w:rPr>
          <w:rFonts w:ascii="Times New Roman" w:hAnsi="Times New Roman" w:cs="Times New Roman"/>
          <w:b/>
          <w:bCs/>
          <w:lang w:val="fr-FR"/>
        </w:rPr>
      </w:pPr>
      <w:r w:rsidRPr="0058432E">
        <w:rPr>
          <w:rFonts w:ascii="Times New Roman" w:hAnsi="Times New Roman" w:cs="Times New Roman"/>
          <w:b/>
          <w:bCs/>
          <w:lang w:val="fr-FR"/>
        </w:rPr>
        <w:t>13. Affichage des Résultats</w:t>
      </w:r>
    </w:p>
    <w:p w14:paraId="11AACF12" w14:textId="4E5A0DFE" w:rsidR="00355A84" w:rsidRDefault="00AC0EC8" w:rsidP="0058432E">
      <w:pPr>
        <w:jc w:val="both"/>
        <w:rPr>
          <w:rFonts w:ascii="Times New Roman" w:hAnsi="Times New Roman" w:cs="Times New Roman"/>
          <w:sz w:val="22"/>
          <w:lang w:val="fr-FR"/>
        </w:rPr>
      </w:pPr>
      <w:r w:rsidRPr="0058432E">
        <w:rPr>
          <w:rFonts w:ascii="Times New Roman" w:hAnsi="Times New Roman" w:cs="Times New Roman"/>
          <w:sz w:val="22"/>
          <w:lang w:val="fr-FR"/>
        </w:rPr>
        <w:t>Les scores, notations et significations sont affichés pour chaque pays, permettant une évaluation comparative claire et structurée.</w:t>
      </w:r>
    </w:p>
    <w:p w14:paraId="3127AAFA" w14:textId="77777777" w:rsidR="002654D8" w:rsidRPr="005B72C8" w:rsidRDefault="002654D8" w:rsidP="0058432E">
      <w:pPr>
        <w:jc w:val="both"/>
        <w:rPr>
          <w:rFonts w:ascii="Times New Roman" w:hAnsi="Times New Roman" w:cs="Times New Roman"/>
          <w:sz w:val="22"/>
          <w:lang w:val="fr-FR"/>
        </w:rPr>
      </w:pPr>
    </w:p>
    <w:p w14:paraId="6220C28F" w14:textId="70ACFFE0" w:rsidR="001E4D04" w:rsidRDefault="00355A84" w:rsidP="0058432E">
      <w:pPr>
        <w:jc w:val="both"/>
        <w:rPr>
          <w:rFonts w:ascii="Times New Roman" w:hAnsi="Times New Roman" w:cs="Times New Roman"/>
          <w:lang w:val="fr-FR"/>
        </w:rPr>
      </w:pPr>
      <w:r w:rsidRPr="00355A84">
        <w:rPr>
          <w:rFonts w:ascii="Times New Roman" w:hAnsi="Times New Roman" w:cs="Times New Roman"/>
          <w:b/>
          <w:bCs/>
          <w:lang w:val="fr-FR"/>
        </w:rPr>
        <w:t>NB </w:t>
      </w:r>
      <w:r>
        <w:rPr>
          <w:rFonts w:ascii="Times New Roman" w:hAnsi="Times New Roman" w:cs="Times New Roman"/>
          <w:lang w:val="fr-FR"/>
        </w:rPr>
        <w:t>:</w:t>
      </w:r>
      <w:r w:rsidRPr="00355A84">
        <w:rPr>
          <w:lang w:val="fr-FR"/>
        </w:rPr>
        <w:t xml:space="preserve"> </w:t>
      </w:r>
      <w:r w:rsidRPr="00355A84">
        <w:rPr>
          <w:rFonts w:ascii="Times New Roman" w:hAnsi="Times New Roman" w:cs="Times New Roman"/>
          <w:lang w:val="fr-FR"/>
        </w:rPr>
        <w:t>Les coefficients dominants sont extraits à partir de l’analyse en composantes principales (ACP) en sélectionnant, pour chaque variable, la contribution maximale en valeur absolue aux axes principaux, tout en conservant le signe afin de refléter la direction de l’influence. Cette approche permet d’identifier les variables les plus représentatives dans la structure des données. Un tableau récapitulatif est ensuite construit, et un filtrage statistique est appliqué en retenant les variables dont le coefficient absolu est supérieur ou égal au troisième quartile, afin de ne conserver que les plus influentes.</w:t>
      </w:r>
    </w:p>
    <w:p w14:paraId="679D36C6" w14:textId="0DCBF1E8" w:rsidR="004C779A" w:rsidRPr="004C779A" w:rsidRDefault="004C779A" w:rsidP="0058432E">
      <w:pPr>
        <w:jc w:val="both"/>
        <w:rPr>
          <w:rFonts w:ascii="Times New Roman" w:hAnsi="Times New Roman" w:cs="Times New Roman"/>
          <w:lang w:val="fr-FR"/>
        </w:rPr>
      </w:pPr>
      <w:r w:rsidRPr="004C779A">
        <w:rPr>
          <w:rFonts w:ascii="Times New Roman" w:hAnsi="Times New Roman" w:cs="Times New Roman"/>
          <w:lang w:val="fr-FR"/>
        </w:rPr>
        <w:t xml:space="preserve">Cette méthode s’appuie sur les principes de l’analyse en composantes principales (ACP), tels que décrits par </w:t>
      </w:r>
      <w:proofErr w:type="spellStart"/>
      <w:r w:rsidRPr="004C779A">
        <w:rPr>
          <w:rFonts w:ascii="Times New Roman" w:hAnsi="Times New Roman" w:cs="Times New Roman"/>
          <w:lang w:val="fr-FR"/>
        </w:rPr>
        <w:t>Hair</w:t>
      </w:r>
      <w:proofErr w:type="spellEnd"/>
      <w:r w:rsidRPr="004C779A">
        <w:rPr>
          <w:rFonts w:ascii="Times New Roman" w:hAnsi="Times New Roman" w:cs="Times New Roman"/>
          <w:lang w:val="fr-FR"/>
        </w:rPr>
        <w:t xml:space="preserve"> et al. (1998) et dans les travaux de Marie Chavent (CNRS), où les coefficients de chargement permettent d’identifier les variables les plus influentes sur les axes principaux. Le coefficient dominant, défini comme la contribution maximale (en valeur absolue) d’une variable à un axe, est utilisé pour quantifier son importance dans la structure des données.</w:t>
      </w:r>
      <w:r w:rsidR="004612FE">
        <w:rPr>
          <w:rStyle w:val="Appelnotedebasdep"/>
          <w:rFonts w:ascii="Times New Roman" w:hAnsi="Times New Roman" w:cs="Times New Roman"/>
          <w:lang w:val="fr-FR"/>
        </w:rPr>
        <w:footnoteReference w:id="1"/>
      </w:r>
    </w:p>
    <w:sectPr w:rsidR="004C779A" w:rsidRPr="004C779A">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ACA69" w14:textId="77777777" w:rsidR="005406C9" w:rsidRDefault="005406C9" w:rsidP="004612FE">
      <w:pPr>
        <w:spacing w:after="0" w:line="240" w:lineRule="auto"/>
      </w:pPr>
      <w:r>
        <w:separator/>
      </w:r>
    </w:p>
  </w:endnote>
  <w:endnote w:type="continuationSeparator" w:id="0">
    <w:p w14:paraId="2C84131F" w14:textId="77777777" w:rsidR="005406C9" w:rsidRDefault="005406C9" w:rsidP="0046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009FB" w14:textId="77777777" w:rsidR="005406C9" w:rsidRDefault="005406C9" w:rsidP="004612FE">
      <w:pPr>
        <w:spacing w:after="0" w:line="240" w:lineRule="auto"/>
      </w:pPr>
      <w:r>
        <w:separator/>
      </w:r>
    </w:p>
  </w:footnote>
  <w:footnote w:type="continuationSeparator" w:id="0">
    <w:p w14:paraId="29BD5D43" w14:textId="77777777" w:rsidR="005406C9" w:rsidRDefault="005406C9" w:rsidP="004612FE">
      <w:pPr>
        <w:spacing w:after="0" w:line="240" w:lineRule="auto"/>
      </w:pPr>
      <w:r>
        <w:continuationSeparator/>
      </w:r>
    </w:p>
  </w:footnote>
  <w:footnote w:id="1">
    <w:p w14:paraId="640C1AEF" w14:textId="36BB3A29" w:rsidR="004612FE" w:rsidRPr="004612FE" w:rsidRDefault="004612FE">
      <w:pPr>
        <w:pStyle w:val="Notedebasdepage"/>
        <w:rPr>
          <w:lang w:val="fr-FR"/>
        </w:rPr>
      </w:pPr>
      <w:r>
        <w:rPr>
          <w:rStyle w:val="Appelnotedebasdep"/>
        </w:rPr>
        <w:footnoteRef/>
      </w:r>
      <w:r>
        <w:t xml:space="preserve"> </w:t>
      </w:r>
      <w:hyperlink r:id="rId1" w:history="1">
        <w:proofErr w:type="spellStart"/>
        <w:r w:rsidR="00260677" w:rsidRPr="00260677">
          <w:rPr>
            <w:rStyle w:val="Lienhypertexte"/>
          </w:rPr>
          <w:t>Analyse</w:t>
        </w:r>
        <w:proofErr w:type="spellEnd"/>
        <w:r w:rsidR="00260677" w:rsidRPr="00260677">
          <w:rPr>
            <w:rStyle w:val="Lienhypertexte"/>
          </w:rPr>
          <w:t xml:space="preserve"> </w:t>
        </w:r>
        <w:proofErr w:type="spellStart"/>
        <w:r w:rsidR="00260677" w:rsidRPr="00260677">
          <w:rPr>
            <w:rStyle w:val="Lienhypertexte"/>
          </w:rPr>
          <w:t>en</w:t>
        </w:r>
        <w:proofErr w:type="spellEnd"/>
        <w:r w:rsidR="00260677" w:rsidRPr="00260677">
          <w:rPr>
            <w:rStyle w:val="Lienhypertexte"/>
          </w:rPr>
          <w:t xml:space="preserve"> </w:t>
        </w:r>
        <w:proofErr w:type="spellStart"/>
        <w:r w:rsidR="00260677" w:rsidRPr="00260677">
          <w:rPr>
            <w:rStyle w:val="Lienhypertexte"/>
          </w:rPr>
          <w:t>composantes</w:t>
        </w:r>
        <w:proofErr w:type="spellEnd"/>
        <w:r w:rsidR="00260677" w:rsidRPr="00260677">
          <w:rPr>
            <w:rStyle w:val="Lienhypertexte"/>
          </w:rPr>
          <w:t xml:space="preserve"> </w:t>
        </w:r>
        <w:proofErr w:type="spellStart"/>
        <w:r w:rsidR="00260677" w:rsidRPr="00260677">
          <w:rPr>
            <w:rStyle w:val="Lienhypertexte"/>
          </w:rPr>
          <w:t>principales</w:t>
        </w:r>
        <w:proofErr w:type="spellEnd"/>
        <w:r w:rsidR="00260677" w:rsidRPr="00260677">
          <w:rPr>
            <w:rStyle w:val="Lienhypertexte"/>
          </w:rPr>
          <w:t xml:space="preserve"> |</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29F"/>
    <w:multiLevelType w:val="multilevel"/>
    <w:tmpl w:val="4B100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76502"/>
    <w:multiLevelType w:val="multilevel"/>
    <w:tmpl w:val="D30C3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570C9"/>
    <w:multiLevelType w:val="multilevel"/>
    <w:tmpl w:val="253AA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26E2F"/>
    <w:multiLevelType w:val="multilevel"/>
    <w:tmpl w:val="9056A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259AC"/>
    <w:multiLevelType w:val="multilevel"/>
    <w:tmpl w:val="2CE00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C144B"/>
    <w:multiLevelType w:val="multilevel"/>
    <w:tmpl w:val="EC2CE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C5665"/>
    <w:multiLevelType w:val="hybridMultilevel"/>
    <w:tmpl w:val="2F9CF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E346A5"/>
    <w:multiLevelType w:val="multilevel"/>
    <w:tmpl w:val="5930F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152A7"/>
    <w:multiLevelType w:val="multilevel"/>
    <w:tmpl w:val="879A9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B26DB"/>
    <w:multiLevelType w:val="multilevel"/>
    <w:tmpl w:val="CC1E4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F4668"/>
    <w:multiLevelType w:val="multilevel"/>
    <w:tmpl w:val="A822C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2C2C70"/>
    <w:multiLevelType w:val="multilevel"/>
    <w:tmpl w:val="25302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D7A7C"/>
    <w:multiLevelType w:val="multilevel"/>
    <w:tmpl w:val="5240D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859C9"/>
    <w:multiLevelType w:val="multilevel"/>
    <w:tmpl w:val="5BB24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B1932"/>
    <w:multiLevelType w:val="multilevel"/>
    <w:tmpl w:val="621C2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D0DAE"/>
    <w:multiLevelType w:val="multilevel"/>
    <w:tmpl w:val="18D8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29338B"/>
    <w:multiLevelType w:val="multilevel"/>
    <w:tmpl w:val="BDB68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71A8C"/>
    <w:multiLevelType w:val="multilevel"/>
    <w:tmpl w:val="673E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9441AB"/>
    <w:multiLevelType w:val="multilevel"/>
    <w:tmpl w:val="C5143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112458">
    <w:abstractNumId w:val="12"/>
  </w:num>
  <w:num w:numId="2" w16cid:durableId="574779694">
    <w:abstractNumId w:val="17"/>
  </w:num>
  <w:num w:numId="3" w16cid:durableId="2078166522">
    <w:abstractNumId w:val="10"/>
  </w:num>
  <w:num w:numId="4" w16cid:durableId="612059353">
    <w:abstractNumId w:val="15"/>
  </w:num>
  <w:num w:numId="5" w16cid:durableId="1891068742">
    <w:abstractNumId w:val="7"/>
  </w:num>
  <w:num w:numId="6" w16cid:durableId="1580210589">
    <w:abstractNumId w:val="3"/>
  </w:num>
  <w:num w:numId="7" w16cid:durableId="1694066105">
    <w:abstractNumId w:val="6"/>
  </w:num>
  <w:num w:numId="8" w16cid:durableId="1918898977">
    <w:abstractNumId w:val="4"/>
  </w:num>
  <w:num w:numId="9" w16cid:durableId="1322929636">
    <w:abstractNumId w:val="9"/>
  </w:num>
  <w:num w:numId="10" w16cid:durableId="1110902303">
    <w:abstractNumId w:val="5"/>
  </w:num>
  <w:num w:numId="11" w16cid:durableId="391125983">
    <w:abstractNumId w:val="16"/>
  </w:num>
  <w:num w:numId="12" w16cid:durableId="237790707">
    <w:abstractNumId w:val="18"/>
  </w:num>
  <w:num w:numId="13" w16cid:durableId="1446148391">
    <w:abstractNumId w:val="14"/>
  </w:num>
  <w:num w:numId="14" w16cid:durableId="223224795">
    <w:abstractNumId w:val="8"/>
  </w:num>
  <w:num w:numId="15" w16cid:durableId="1042175425">
    <w:abstractNumId w:val="0"/>
  </w:num>
  <w:num w:numId="16" w16cid:durableId="1247611229">
    <w:abstractNumId w:val="1"/>
  </w:num>
  <w:num w:numId="17" w16cid:durableId="105004339">
    <w:abstractNumId w:val="11"/>
  </w:num>
  <w:num w:numId="18" w16cid:durableId="678431517">
    <w:abstractNumId w:val="2"/>
  </w:num>
  <w:num w:numId="19" w16cid:durableId="13353781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EF"/>
    <w:rsid w:val="00070101"/>
    <w:rsid w:val="000D1CFF"/>
    <w:rsid w:val="001E357F"/>
    <w:rsid w:val="001E4D04"/>
    <w:rsid w:val="00260677"/>
    <w:rsid w:val="002654D8"/>
    <w:rsid w:val="002F5574"/>
    <w:rsid w:val="003150BF"/>
    <w:rsid w:val="00355A84"/>
    <w:rsid w:val="003C0217"/>
    <w:rsid w:val="003F2BC4"/>
    <w:rsid w:val="004173AD"/>
    <w:rsid w:val="004612FE"/>
    <w:rsid w:val="004C779A"/>
    <w:rsid w:val="004D5E7F"/>
    <w:rsid w:val="005406C9"/>
    <w:rsid w:val="00565E84"/>
    <w:rsid w:val="0058432E"/>
    <w:rsid w:val="005B72C8"/>
    <w:rsid w:val="005B7BCF"/>
    <w:rsid w:val="007E44A7"/>
    <w:rsid w:val="007E5D5A"/>
    <w:rsid w:val="00813F51"/>
    <w:rsid w:val="00885607"/>
    <w:rsid w:val="008A1639"/>
    <w:rsid w:val="0092114A"/>
    <w:rsid w:val="009A2F62"/>
    <w:rsid w:val="009B32D0"/>
    <w:rsid w:val="00A04EB2"/>
    <w:rsid w:val="00A2537A"/>
    <w:rsid w:val="00AC0EC8"/>
    <w:rsid w:val="00BD00D1"/>
    <w:rsid w:val="00C43BEF"/>
    <w:rsid w:val="00C93C7A"/>
    <w:rsid w:val="00D808A2"/>
    <w:rsid w:val="00DF1B04"/>
    <w:rsid w:val="00DF312E"/>
    <w:rsid w:val="00E35F03"/>
    <w:rsid w:val="00E3638B"/>
    <w:rsid w:val="00E51F3E"/>
    <w:rsid w:val="00EB4181"/>
    <w:rsid w:val="00EF0652"/>
    <w:rsid w:val="00EF1FB6"/>
    <w:rsid w:val="00FA4017"/>
    <w:rsid w:val="00FB0869"/>
    <w:rsid w:val="00FC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AF45"/>
  <w15:chartTrackingRefBased/>
  <w15:docId w15:val="{84B776CD-F245-423D-ABAC-B59C96DC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3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43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43BE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43BE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43BE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43BE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43BE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43BE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43BE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3BE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43BE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43BE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43BE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43BE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43B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43B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43B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43BEF"/>
    <w:rPr>
      <w:rFonts w:eastAsiaTheme="majorEastAsia" w:cstheme="majorBidi"/>
      <w:color w:val="272727" w:themeColor="text1" w:themeTint="D8"/>
    </w:rPr>
  </w:style>
  <w:style w:type="paragraph" w:styleId="Titre">
    <w:name w:val="Title"/>
    <w:basedOn w:val="Normal"/>
    <w:next w:val="Normal"/>
    <w:link w:val="TitreCar"/>
    <w:uiPriority w:val="10"/>
    <w:qFormat/>
    <w:rsid w:val="00C43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3B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43BE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43B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43BEF"/>
    <w:pPr>
      <w:spacing w:before="160"/>
      <w:jc w:val="center"/>
    </w:pPr>
    <w:rPr>
      <w:i/>
      <w:iCs/>
      <w:color w:val="404040" w:themeColor="text1" w:themeTint="BF"/>
    </w:rPr>
  </w:style>
  <w:style w:type="character" w:customStyle="1" w:styleId="CitationCar">
    <w:name w:val="Citation Car"/>
    <w:basedOn w:val="Policepardfaut"/>
    <w:link w:val="Citation"/>
    <w:uiPriority w:val="29"/>
    <w:rsid w:val="00C43BEF"/>
    <w:rPr>
      <w:i/>
      <w:iCs/>
      <w:color w:val="404040" w:themeColor="text1" w:themeTint="BF"/>
    </w:rPr>
  </w:style>
  <w:style w:type="paragraph" w:styleId="Paragraphedeliste">
    <w:name w:val="List Paragraph"/>
    <w:basedOn w:val="Normal"/>
    <w:uiPriority w:val="34"/>
    <w:qFormat/>
    <w:rsid w:val="00C43BEF"/>
    <w:pPr>
      <w:ind w:left="720"/>
      <w:contextualSpacing/>
    </w:pPr>
  </w:style>
  <w:style w:type="character" w:styleId="Accentuationintense">
    <w:name w:val="Intense Emphasis"/>
    <w:basedOn w:val="Policepardfaut"/>
    <w:uiPriority w:val="21"/>
    <w:qFormat/>
    <w:rsid w:val="00C43BEF"/>
    <w:rPr>
      <w:i/>
      <w:iCs/>
      <w:color w:val="0F4761" w:themeColor="accent1" w:themeShade="BF"/>
    </w:rPr>
  </w:style>
  <w:style w:type="paragraph" w:styleId="Citationintense">
    <w:name w:val="Intense Quote"/>
    <w:basedOn w:val="Normal"/>
    <w:next w:val="Normal"/>
    <w:link w:val="CitationintenseCar"/>
    <w:uiPriority w:val="30"/>
    <w:qFormat/>
    <w:rsid w:val="00C43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43BEF"/>
    <w:rPr>
      <w:i/>
      <w:iCs/>
      <w:color w:val="0F4761" w:themeColor="accent1" w:themeShade="BF"/>
    </w:rPr>
  </w:style>
  <w:style w:type="character" w:styleId="Rfrenceintense">
    <w:name w:val="Intense Reference"/>
    <w:basedOn w:val="Policepardfaut"/>
    <w:uiPriority w:val="32"/>
    <w:qFormat/>
    <w:rsid w:val="00C43BEF"/>
    <w:rPr>
      <w:b/>
      <w:bCs/>
      <w:smallCaps/>
      <w:color w:val="0F4761" w:themeColor="accent1" w:themeShade="BF"/>
      <w:spacing w:val="5"/>
    </w:rPr>
  </w:style>
  <w:style w:type="table" w:styleId="Grilledutableau">
    <w:name w:val="Table Grid"/>
    <w:basedOn w:val="TableauNormal"/>
    <w:uiPriority w:val="39"/>
    <w:rsid w:val="00C43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4612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612FE"/>
    <w:rPr>
      <w:sz w:val="20"/>
      <w:szCs w:val="20"/>
    </w:rPr>
  </w:style>
  <w:style w:type="character" w:styleId="Appelnotedebasdep">
    <w:name w:val="footnote reference"/>
    <w:basedOn w:val="Policepardfaut"/>
    <w:uiPriority w:val="99"/>
    <w:semiHidden/>
    <w:unhideWhenUsed/>
    <w:rsid w:val="004612FE"/>
    <w:rPr>
      <w:vertAlign w:val="superscript"/>
    </w:rPr>
  </w:style>
  <w:style w:type="character" w:styleId="Lienhypertexte">
    <w:name w:val="Hyperlink"/>
    <w:basedOn w:val="Policepardfaut"/>
    <w:uiPriority w:val="99"/>
    <w:unhideWhenUsed/>
    <w:rsid w:val="004612FE"/>
    <w:rPr>
      <w:color w:val="467886" w:themeColor="hyperlink"/>
      <w:u w:val="single"/>
    </w:rPr>
  </w:style>
  <w:style w:type="character" w:styleId="Mentionnonrsolue">
    <w:name w:val="Unresolved Mention"/>
    <w:basedOn w:val="Policepardfaut"/>
    <w:uiPriority w:val="99"/>
    <w:semiHidden/>
    <w:unhideWhenUsed/>
    <w:rsid w:val="004612FE"/>
    <w:rPr>
      <w:color w:val="605E5C"/>
      <w:shd w:val="clear" w:color="auto" w:fill="E1DFDD"/>
    </w:rPr>
  </w:style>
  <w:style w:type="character" w:styleId="Lienhypertextesuivivisit">
    <w:name w:val="FollowedHyperlink"/>
    <w:basedOn w:val="Policepardfaut"/>
    <w:uiPriority w:val="99"/>
    <w:semiHidden/>
    <w:unhideWhenUsed/>
    <w:rsid w:val="004612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pss.espaceweb.usherbrooke.ca/analyse-en-composantes-principales-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CFB67-30BD-4B98-8357-DC14D61E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3</Pages>
  <Words>896</Words>
  <Characters>5112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Bekanti Grace Koffi</dc:creator>
  <cp:keywords/>
  <dc:description/>
  <cp:lastModifiedBy>Bekanti Grace Koffi</cp:lastModifiedBy>
  <cp:revision>33</cp:revision>
  <dcterms:created xsi:type="dcterms:W3CDTF">2025-09-01T13:15:00Z</dcterms:created>
  <dcterms:modified xsi:type="dcterms:W3CDTF">2025-09-09T15:19:00Z</dcterms:modified>
</cp:coreProperties>
</file>