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spacing w:after="0" w:line="276" w:lineRule="auto"/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/>
      <w:r>
        <w:rPr>
          <w:rFonts w:ascii="宋体" w:hAnsi="宋体" w:eastAsia="宋体"/>
          <w:b/>
          <w:sz w:val="28"/>
        </w:rPr>
        <w:t>中国大学生计算机设计大赛</w:t>
      </w:r>
    </w:p>
    <w:p w14:paraId="4D0FCE79">
      <w:pPr>
        <w:spacing w:after="0" w:line="276" w:lineRule="auto"/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/>
      <w:r>
        <w:rPr>
          <w:rFonts w:ascii="宋体" w:hAnsi="宋体" w:eastAsia="宋体"/>
          <w:b/>
          <w:sz w:val="28"/>
        </w:rPr>
        <w:t>AI工具使用说明(2026年版)</w:t>
      </w:r>
    </w:p>
    <w:p w14:paraId="19BD0303">
      <w:pPr>
        <w:spacing w:after="0" w:line="276" w:lineRule="auto"/>
        <w:jc w:val="left"/>
        <w:rPr>
          <w:rFonts w:hint="eastAsia" w:ascii="Arial" w:hAnsi="Arial" w:eastAsia="宋体" w:cs="Arial"/>
          <w:color w:val="333333"/>
          <w:kern w:val="0"/>
          <w:szCs w:val="21"/>
        </w:rPr>
      </w:pPr>
      <w:r/>
      <w:r>
        <w:rPr>
          <w:rFonts w:ascii="宋体" w:hAnsi="宋体" w:eastAsia="宋体"/>
          <w:b w:val="0"/>
          <w:sz w:val="21"/>
        </w:rPr>
        <w:t>作品编号：  待填写       作品名称：    WinLoop AI（赛帮帮）- 面向竞赛团队的智能协作与答辩平台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"/>
        <w:gridCol w:w="3022"/>
        <w:gridCol w:w="675"/>
        <w:gridCol w:w="2064"/>
        <w:gridCol w:w="4208"/>
        <w:gridCol w:w="2308"/>
        <w:gridCol w:w="1584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381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AI工具的名称、版本、访问方式（网页、API或客户端），使用时间</w:t>
            </w:r>
          </w:p>
        </w:tc>
        <w:tc>
          <w:tcPr>
            <w:tcW w:w="2721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948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关键提示词</w:t>
            </w:r>
          </w:p>
        </w:tc>
        <w:tc>
          <w:tcPr>
            <w:tcW w:w="2608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AI回复的关键内容（在此简要说明，并在附录中给出佐证）</w:t>
            </w:r>
          </w:p>
        </w:tc>
        <w:tc>
          <w:tcPr>
            <w:tcW w:w="2494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AI回复的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人工修改说明</w:t>
            </w:r>
          </w:p>
        </w:tc>
        <w:tc>
          <w:tcPr>
            <w:tcW w:w="2098" w:type="dxa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采纳比例</w:t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通义千问 Qwen-Plus / Qwen-Max（大语言模型）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API访问：百炼 DashScope OpenAI兼容接口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内容生成、资料问答、项目分析：用于工作台右侧助手、项目聊天和竞赛资料问答。模型结合项目资源、协作文档、比赛信息和知识索引上下文，辅助团队理解资料、梳理项目状态、生成下一步建议。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System Prompt: "你是WinLoop竞赛团队工作台助手。请基于当前项目资料、比赛信息和可见引用回答，不确定时说明资料缺口，不编造结论。"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User示例: "根据当前资料，帮我整理项目亮点、风险和下一步任务。"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输出项目亮点、资料缺口、风险项和下一步建议。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能结合竞赛绑定、项目设置、资源列表和协作文档摘要回答。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在知识索引未完成时提示结果可能不完整，避免把不确定内容写成确定结论。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人工保留了项目权限、资源可见性和引用状态的校验；对模型输出进行了事实核对、术语统一和中文表达润色；涉及写操作的建议仍通过草案或人工确认，不直接落盘。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采纳比例约80%。主要采纳结构化梳理、说明文本和问答结果；项目事实、权限边界、资料引用和最终表达由人工复核后确定。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通义千问 Qwen-VL-Max / Qwen-VL-Plus（多模态视觉理解模型）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API访问：百炼 DashScope 多模态接口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内容生成、数据分析、图像理解：用于图片资料、OCR文本、流程图截图、设计稿截图和会议视觉材料的理解，辅助生成项目知识片段和可检索摘要。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"请阅读这张竞赛资料截图，提取标题、关键结论、时间节点和可能影响项目答辩的证据点。输出为结构化JSON，保留不确定项。"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Prompt示例: "请概括这张流程画布截图中的节点关系，用于项目知识索引。"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生成图片摘要、OCR文本、流程图节点说明和视觉资料标签。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将视觉内容投影到统一文本语义空间，进入项目知识索引。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输出可供工作台AI引用的资料片段，支持后续问答和答辩准备。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人工补充了资料来源、项目归属和引用位置；删除低置信度识别结果；对OCR误字、图中缩写和流程节点命名进行校正，避免视觉误判进入正式材料。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采纳比例约75%。主要采纳视觉摘要和结构化提取结果；截图来源、项目术语、引用范围和最终入库内容由人工确认。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通义千问 Qwen Realtime / Qwen ASR / Qwen TTS（实时音视频、语音识别、语音合成能力）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API访问：百炼 DashScope WebSocket / 语音接口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内容生成、语音转写、答辩模拟：用于答辩工作台中的实时答辩sidecar、语音转文字、答辩问题理解、实时建议和语音播报。系统保留LiveKit会议链路，Qwen负责实时推理和语音能力。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Realtime Prompt示例: "你是竞赛答辩评委模拟助手。请根据当前项目资料、发言转写和评委persona提出追问，并给出简短改进建议。"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ASR/TTS配置示例: "中文普通话实时转写，保留中间结果；播报时语气清晰、适合答辩场景。"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支持答辩会话中的实时转写和评委追问。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将turn、摘要、问题和动作项回流到答辩工作台。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对AI未配置、连接失败和权限问题给出明确状态，不静默降级。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人工调整了答辩persona、问题强度、转写分段和摘要粒度；对实时建议进行筛选，只保留可用于答辩训练和会后复盘的内容。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采纳比例约70%。实时转写和初稿建议可直接辅助训练，但最终答辩话术、评分判断和会后总结需要人工再加工。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DeepSeek V3 / DeepSeek R1（大语言模型、推理模型）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访问方式：网页端与OpenAI兼容API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立项构思、方案推演、文档润色：用于梳理竞赛团队痛点、产品定位、功能边界、评审问题和技术讲解顺序，辅助把WinLoop从功能列表整理为完整参赛叙事。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"请基于竞赛团队从选赛、建项、资料沉淀、协作推进到答辩提交的流程，梳理一个5分钟技术路演结构。要求突出多模态知识索引、可溯源引用和答辩工作台，不要泛泛讲AI。"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输出痛点、产品定位、核心链路、技术亮点和评审追问清单。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将复杂能力归纳为竞赛协作、知识索引、智能工作流、答辩辅助和后台治理五类。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给出更适合比赛材料的表达顺序。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人工根据当前仓库真实实现删去了未落地或表述过度的内容；将空泛AI词汇改为多模态语义索引、混合召回、可信引用、实时答辩等可解释能力。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采纳比例约65%。主要采纳结构和问题清单；项目事实、实现边界和正式文案均由人工结合仓库资料重写。</w:t>
            </w: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DeepSeek V3 + Qwen-Plus（文本生成与推理模型组合）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访问方式：网页端、API与工作台模型路由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需求验收、测试点生成、异常分析：用于对项目知识索引、AI provider治理、飞书同步、答辩工作台等模块做验收清单、边界条件和异常说明整理。仅少量辅助接口说明和测试用例梳理，不作为主要代码生成工具。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"请把以下功能说明整理成验收清单：项目资料上传后进入知识索引，ready优先，stale仅fallback，AI回答要展示citation和warning。输出正常路径、异常路径和验收证据。"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生成接口验收点、失败路径、状态文案和回归测试建议。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帮助识别未配置provider、索引未完成、资料不可见、引用缺失等风险。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为文档中的人工修改说明提供依据。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人工将模型输出压缩为实际可验证的场景；删除与当前仓库不一致的接口命名；测试命令和验收结论以本地项目实际结果为准。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采纳比例约60%。主要采纳测试思路和异常清单；具体实现、命名、断言和验收结论由人工确认。</w:t>
            </w: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即梦AI 文生图（图像生成工具）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访问方式：网页端/客户端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内容生成、图表优化、比赛包装：用于生成WinLoop产品封面、路演主视觉、竞赛团队工作台氛围图和申报材料配图草案，增强比赛材料的视觉表达。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"面向大学生竞赛团队的智能协作平台，画面包含项目工作台、知识网络、答辩会议和资料卡片，现代中文SaaS产品视觉，干净、专业、科技感，16:9，适合路演封面，不要出现具体品牌Logo。"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生成多版产品主视觉和封面草案。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提供知识网络、工作台协作、答辩辅助等主题的视觉方向。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为PPT和申报材料选择更统一的视觉基调。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人工筛选构图，统一品牌色和标题层级；删除不符合产品实际的装饰元素；对文字区域留白、人物姿态、界面细节进行二次修正。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采纳比例约70%。主要采纳构图、氛围和视觉草案；最终版面、标题、配色和是否用于提交由人工决定。</w:t>
            </w: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即梦AI 图生图 / 风格化（图像生成与二次处理工具）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访问方式：网页端/客户端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图表优化、UI展示、功能示意：用于对工作台截图、流程画布截图和答辩界面草图做风格统一、背景扩展、视觉包装和演示图优化。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"基于这张工作台截图，保持原有布局和信息层级，优化为比赛路演展示图。风格简洁专业，不添加不存在的功能按钮，不改变中文文案。"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生成更适合路演展示的工作台示意图。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对截图边缘、背景和光影进行包装，突出协作、资料和答辩状态。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帮助制作功能页面之间的视觉过渡图。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人工核对所有界面元素，避免模型误改按钮、数字、状态和中文文案；真实产品截图仍作为验收依据，AI图只用于视觉包装或示意说明。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采纳比例约55%。主要采纳视觉包装效果；涉及真实界面、数据和功能状态的内容必须人工复核。</w:t>
            </w: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即梦AI 素材扩展（图标、背景、插画与配图生成）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访问方式：网页端/客户端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内容生成、素材制作：用于生成答辩材料中的章节背景、能力图标、知识索引插画、评委问答场景图和社交传播配图草案。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"生成一组用于竞赛协作平台PPT的扁平化图标：知识索引、可信引用、团队协作、答辩模拟、飞书同步、AI治理。统一线性风格，浅色背景，图标本身不包含文字。"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输出多组图标和插画方向。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帮助统一比赛材料中的章节视觉。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用于辅助说明抽象能力，例如知识图谱、引用链路和实时答辩。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人工统一尺寸、留白、对齐和色彩；删除与项目无关或过度装饰的图形；最终图标按材料版式重新排版。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采纳比例约65%。主要采纳图形方向和素材草案；最终视觉规范、语义匹配和排版由人工完成。</w:t>
            </w: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w="238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Qwen-Plus / DeepSeek V3（文本整理模型）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访问方式：网页端与API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使用时间：2026年3月1日-5月5日</w:t>
            </w:r>
          </w:p>
        </w:tc>
        <w:tc>
          <w:tcPr>
            <w:tcW w:w="2721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内容生成、资料整理、会议纪要：用于飞书多维表导入字段说明、项目资料摘要、会议纪要整理、答辩动作项归纳和后台运营说明润色。</w:t>
            </w:r>
          </w:p>
        </w:tc>
        <w:tc>
          <w:tcPr>
            <w:tcW w:w="294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Prompt示例: "请将这些竞赛记录整理为同步摘要，区分飞书原始字段、本地保留字段、发布后保留字段，并列出需要人工确认的缺失信息。"</w:t>
            </w:r>
          </w:p>
        </w:tc>
        <w:tc>
          <w:tcPr>
            <w:tcW w:w="260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1. 输出飞书同步摘要、资料缺口和人工确认项。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2. 将会议转写整理为总结、问题、动作项和证据缺口。</w:t>
            </w:r>
            <w:r>
              <w:br/>
            </w:r>
            <w:r>
              <w:rPr>
                <w:rFonts w:ascii="宋体" w:hAnsi="宋体" w:eastAsia="宋体"/>
                <w:b w:val="0"/>
                <w:sz w:val="14"/>
              </w:rPr>
              <w:t>3. 辅助后台运营材料说明AI provider、资源worker和同步状态。</w:t>
            </w:r>
          </w:p>
        </w:tc>
        <w:tc>
          <w:tcPr>
            <w:tcW w:w="2494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人工核验飞书字段来源、同步边界和会议事实；对模型生成的总结进行删改，保证不把未确认事项写成已完成事项。</w:t>
            </w:r>
          </w:p>
        </w:tc>
        <w:tc>
          <w:tcPr>
            <w:tcW w:w="2098" w:type="dxa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采纳比例约70%。资料整理和纪要结构较高比例采纳；字段来源、状态判断和最终提交内容由人工确认。</w:t>
            </w:r>
          </w:p>
        </w:tc>
      </w:tr>
    </w:tbl>
    <w:p/>
    <w:p>
      <w:pPr>
        <w:spacing w:after="0" w:line="276" w:lineRule="auto"/>
      </w:pPr>
      <w:r/>
      <w:r>
        <w:rPr>
          <w:rFonts w:ascii="宋体" w:hAnsi="宋体" w:eastAsia="宋体"/>
          <w:b w:val="0"/>
          <w:sz w:val="18"/>
        </w:rPr>
        <w:t>填写说明：</w:t>
        <w:br/>
        <w:t>本文档适用于所有涉及AI工具使用的参赛作品，表格可另加行。</w:t>
        <w:br/>
        <w:t>参赛作品的作者，需根据实际的使用情况简明扼要地列出本作品所使用的全部AI工具的名称、版本、访问方式、使用时间、使用环节与目的、关键提示词、AI回复的关键内容、采纳和人工修改情况等。</w:t>
        <w:br/>
        <w:t>AI回复的关键内容佐证材料，需作为本文档的附录2给出，包括但不限于：（1）关键操作截图（含时间戳，需清晰可辨）；（2）交互录屏视频（时长≤5分钟，需标注使用节点，文档为MP4格式，命名格式：AI_使用序号_作品编号.mp4）；（3）代码注释中标明AI辅助部分（如：// AI辅助生成：DeepSeek-R1-0528, 2026-05-05）</w:t>
        <w:br/>
        <w:t>提交时，需将本文档的PDF格式文件，以及其他佐证材料（如交互录屏视频），一并上传到作品文件夹的“03设计与开发文档”子文件夹中。</w:t>
        <w:br/>
        <w:t>本文档内容是正式参赛内容组成部分，需真实填写。如不属实，将导致奖项等级降低甚至终止本作品参加比赛。</w:t>
      </w:r>
    </w:p>
    <w:p>
      <w:r>
        <w:br w:type="page"/>
      </w:r>
    </w:p>
    <w:p>
      <w:pPr>
        <w:spacing w:after="0" w:line="276" w:lineRule="auto"/>
      </w:pPr>
      <w:r/>
      <w:r>
        <w:rPr>
          <w:rFonts w:ascii="宋体" w:hAnsi="宋体" w:eastAsia="宋体"/>
          <w:b/>
          <w:sz w:val="22"/>
        </w:rPr>
        <w:t>附录1：作品文件夹示例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待填写-参赛总文件夹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├── 待填写-01作品与答辩材料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├── 待填写-02素材与源码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├── 待填写-03设计与开发文档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└── 待填写-04作品演示视频</w:t>
      </w:r>
    </w:p>
    <w:p/>
    <w:p>
      <w:pPr>
        <w:spacing w:after="0" w:line="276" w:lineRule="auto"/>
      </w:pPr>
      <w:r/>
      <w:r>
        <w:rPr>
          <w:rFonts w:ascii="宋体" w:hAnsi="宋体" w:eastAsia="宋体"/>
          <w:b/>
          <w:sz w:val="22"/>
        </w:rPr>
        <w:t>附录2：AI回复关键内容佐证材料清单（待补）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序号1的佐证材料：待补关键操作截图或录屏，建议命名为 AI_1_待填写.mp4；截图文件可命名为 AI_1_待填写_截图.png。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序号2的佐证材料：待补关键操作截图或录屏，建议命名为 AI_2_待填写.mp4；截图文件可命名为 AI_2_待填写_截图.png。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序号3的佐证材料：待补关键操作截图或录屏，建议命名为 AI_3_待填写.mp4；截图文件可命名为 AI_3_待填写_截图.png。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序号4的佐证材料：待补关键操作截图或录屏，建议命名为 AI_4_待填写.mp4；截图文件可命名为 AI_4_待填写_截图.png。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序号5的佐证材料：待补关键操作截图或录屏，建议命名为 AI_5_待填写.mp4；截图文件可命名为 AI_5_待填写_截图.png。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序号6的佐证材料：待补关键操作截图或录屏，建议命名为 AI_6_待填写.mp4；截图文件可命名为 AI_6_待填写_截图.png。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序号7的佐证材料：待补关键操作截图或录屏，建议命名为 AI_7_待填写.mp4；截图文件可命名为 AI_7_待填写_截图.png。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序号8的佐证材料：待补关键操作截图或录屏，建议命名为 AI_8_待填写.mp4；截图文件可命名为 AI_8_待填写_截图.png。</w:t>
      </w:r>
    </w:p>
    <w:p>
      <w:pPr>
        <w:spacing w:after="0" w:line="276" w:lineRule="auto"/>
      </w:pPr>
      <w:r/>
      <w:r>
        <w:rPr>
          <w:rFonts w:ascii="宋体" w:hAnsi="宋体" w:eastAsia="宋体"/>
          <w:b w:val="0"/>
          <w:sz w:val="19"/>
        </w:rPr>
        <w:t>序号9的佐证材料：待补关键操作截图或录屏，建议命名为 AI_9_待填写.mp4；截图文件可命名为 AI_9_待填写_截图.png。</w:t>
      </w:r>
    </w:p>
    <w:sectPr>
      <w:pgSz w:w="16838" w:h="11906" w:orient="landscape"/>
      <w:pgMar w:top="567" w:right="510" w:bottom="567" w:left="51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3F9B7BF6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3951</Words>
  <Characters>7126</Characters>
  <Lines>4</Lines>
  <Paragraphs>15</Paragraphs>
  <TotalTime>0</TotalTime>
  <ScaleCrop>false</ScaleCrop>
  <LinksUpToDate>false</LinksUpToDate>
  <CharactersWithSpaces>7323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flowers</cp:lastModifiedBy>
  <dcterms:modified xsi:type="dcterms:W3CDTF">2026-05-05T03:53:08Z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eyJoZGlkIjoiZjFmZWIzNDg2MmIzZjExOTIzMmViNTBmYTMwYTk0ZWYiLCJ1c2VySWQiOiIxMjQ4NTc0NzE0In0=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E5610B7A8E404E6E891807B120C08D80_13</vt:lpwstr>
  </property>
</Properties>
</file>