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692" w:rsidRDefault="00AA3692" w:rsidP="00AA3692">
      <w:pPr>
        <w:pStyle w:val="ConsPlusNormal"/>
        <w:ind w:firstLine="540"/>
        <w:jc w:val="both"/>
      </w:pPr>
    </w:p>
    <w:p w:rsidR="00EB3A69" w:rsidRDefault="00AA3692" w:rsidP="00AA3692">
      <w:pPr>
        <w:pStyle w:val="ConsPlusNormal"/>
        <w:ind w:firstLine="540"/>
        <w:jc w:val="center"/>
        <w:rPr>
          <w:b/>
        </w:rPr>
      </w:pPr>
      <w:r w:rsidRPr="00AA3692">
        <w:rPr>
          <w:b/>
        </w:rPr>
        <w:t>О показателях доступности и качества медицинской помощи</w:t>
      </w:r>
      <w:r w:rsidR="008346F9">
        <w:rPr>
          <w:b/>
        </w:rPr>
        <w:t xml:space="preserve"> </w:t>
      </w:r>
    </w:p>
    <w:p w:rsidR="00EB3A69" w:rsidRDefault="00EB3A69" w:rsidP="00AA3692">
      <w:pPr>
        <w:pStyle w:val="ConsPlusNormal"/>
        <w:ind w:firstLine="540"/>
        <w:jc w:val="center"/>
        <w:rPr>
          <w:b/>
        </w:rPr>
      </w:pPr>
    </w:p>
    <w:p w:rsidR="00AA3692" w:rsidRPr="00EB3A69" w:rsidRDefault="008346F9" w:rsidP="00AA3692">
      <w:pPr>
        <w:pStyle w:val="ConsPlusNormal"/>
        <w:ind w:firstLine="540"/>
        <w:jc w:val="center"/>
        <w:rPr>
          <w:sz w:val="18"/>
          <w:szCs w:val="18"/>
        </w:rPr>
      </w:pPr>
      <w:r w:rsidRPr="00EB3A69">
        <w:rPr>
          <w:sz w:val="18"/>
          <w:szCs w:val="18"/>
        </w:rPr>
        <w:t>(</w:t>
      </w:r>
      <w:r w:rsidR="00EB3A69" w:rsidRPr="00EB3A69">
        <w:rPr>
          <w:sz w:val="18"/>
          <w:szCs w:val="18"/>
        </w:rPr>
        <w:t>регламентировано</w:t>
      </w:r>
      <w:r w:rsidR="00EB3A69" w:rsidRPr="00EB3A69">
        <w:rPr>
          <w:color w:val="000000"/>
          <w:sz w:val="18"/>
          <w:szCs w:val="18"/>
          <w:shd w:val="clear" w:color="auto" w:fill="FFFFFF"/>
        </w:rPr>
        <w:t xml:space="preserve"> «Территориальной программой государственных гарантий бесплатного оказания гражданам медицинской</w:t>
      </w:r>
      <w:r w:rsidR="00B1363B">
        <w:rPr>
          <w:color w:val="000000"/>
          <w:sz w:val="18"/>
          <w:szCs w:val="18"/>
          <w:shd w:val="clear" w:color="auto" w:fill="FFFFFF"/>
        </w:rPr>
        <w:t xml:space="preserve"> помощи в Омской области на 2016 год</w:t>
      </w:r>
      <w:r w:rsidR="00EB3A69" w:rsidRPr="00EB3A69">
        <w:rPr>
          <w:color w:val="000000"/>
          <w:sz w:val="18"/>
          <w:szCs w:val="18"/>
          <w:shd w:val="clear" w:color="auto" w:fill="FFFFFF"/>
        </w:rPr>
        <w:t>, утвержденной Постановлением Пр</w:t>
      </w:r>
      <w:r w:rsidR="00B1363B">
        <w:rPr>
          <w:color w:val="000000"/>
          <w:sz w:val="18"/>
          <w:szCs w:val="18"/>
          <w:shd w:val="clear" w:color="auto" w:fill="FFFFFF"/>
        </w:rPr>
        <w:t>авительства Омской области от 23 декабря 2015</w:t>
      </w:r>
      <w:r w:rsidR="00EB3A69" w:rsidRPr="00EB3A69">
        <w:rPr>
          <w:color w:val="000000"/>
          <w:sz w:val="18"/>
          <w:szCs w:val="18"/>
          <w:shd w:val="clear" w:color="auto" w:fill="FFFFFF"/>
        </w:rPr>
        <w:t xml:space="preserve"> г. № 3</w:t>
      </w:r>
      <w:r w:rsidR="00B1363B">
        <w:rPr>
          <w:color w:val="000000"/>
          <w:sz w:val="18"/>
          <w:szCs w:val="18"/>
          <w:shd w:val="clear" w:color="auto" w:fill="FFFFFF"/>
        </w:rPr>
        <w:t>82</w:t>
      </w:r>
      <w:r w:rsidR="00EB3A69" w:rsidRPr="00EB3A69">
        <w:rPr>
          <w:color w:val="000000"/>
          <w:sz w:val="18"/>
          <w:szCs w:val="18"/>
          <w:shd w:val="clear" w:color="auto" w:fill="FFFFFF"/>
        </w:rPr>
        <w:t>-п</w:t>
      </w:r>
      <w:r w:rsidRPr="00EB3A69">
        <w:rPr>
          <w:sz w:val="18"/>
          <w:szCs w:val="18"/>
        </w:rPr>
        <w:t>)</w:t>
      </w:r>
    </w:p>
    <w:p w:rsidR="00AA3692" w:rsidRPr="00EB3A69" w:rsidRDefault="00AA3692" w:rsidP="00AA3692">
      <w:pPr>
        <w:pStyle w:val="ConsPlusNormal"/>
        <w:ind w:firstLine="540"/>
        <w:jc w:val="both"/>
        <w:rPr>
          <w:sz w:val="18"/>
          <w:szCs w:val="18"/>
        </w:rPr>
      </w:pPr>
      <w:bookmarkStart w:id="0" w:name="_GoBack"/>
      <w:bookmarkEnd w:id="0"/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Программой устанавливаются целевые значения критериев доступности и качества медицинской помощи, на основе которых проводится комплексная оценка уровня и динамики доступности и качества медицинской помощи.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Критериями качества медицинской помощи в 2016 году являются: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удовлетворенность населения медицинской помощью, в том числе городского, сельского населения (процентов от числа опрошенных), - 50,0, в том числе городского населения - 50,0, сельского населения - 50,0;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смертность населения от болезней системы кровообращения, в том числе городского, сельского населения (число умерших от болезней системы кровообращения на 100 тыс. человек населения), - 680,2, в том числе городского населения - 625,8, сельского населения - 813,5;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смертность населения от злокачественных новообразований, в том числе городского, сельского населения (число умерших от злокачественных новообразований на 100 тыс. человек населения), - 202,4, в том числе городского населения - 218,6, сельского населения - 159,6;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смертность населения от туберкулеза, в том числе городского, сельского населения (случаев на 100 тыс. человек населения), - 14,2, в том числе городского населения - 13,7, сельского населения - 13,9;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смертность населения в трудоспособном возрасте (число умерших в трудоспособном возрасте на 100 тыс. человек населения) - 582,1;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смертность населения трудоспособного возраста от болезней системы кровообращения (число умерших от болезней системы кровообращения в трудоспособном возрасте на 100 тыс. человек населения) - 175,6;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умерших в трудоспособном возрасте на дому в общем количестве умерших в трудоспособном возрасте (процентов) - 24,0;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материнская смертность (на 100 тыс. человек, родившихся живыми) - 14,8;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младенческая смертность (на 1 тыс. человек, родившихся живыми, в том числе в городской и сельской местности) - 7,3, в том числе в городской местности - 6,3, в сельской местности - 8,4;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умерших в возрасте до 1 года на дому в общем количестве умерших в возрасте до 1 года (процентов) - 15,0;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смертность детей в возрасте 0 - 4 лет (на 100 тыс. человек населения соответствующего возраста) - 205,0;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умерших в возрасте 0 - 4 лет на дому в общем количестве умерших в возрасте 0 - 4 лет (процентов) - 18,9;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смертность детей в возрасте 0 - 17 лет (на 100 тыс. человек населения соответствующего возраста) - 85,0;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умерших в возрасте 0 - 17 лет на дому в общем количестве умерших в возрасте 0 - 17 лет (процентов) - 24,9;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пациентов со злокачественными новообразованиями, состоящих на учете с момента установления диагноза 5 лет и более, в общем числе пациентов со злокачественными новообразованиями, состоящих на учете (процентов), - 50,93;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впервые выявленных случаев фиброзно-кавернозного туберкулеза в общем количестве выявленных случаев туберкулеза в течение года (процентов) - 1,5;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впервые выявленных случаев онкологических заболеваний на ранних стадиях (I и II стадии) в общем количестве выявленных случаев онкологических заболеваний в течение года (процентов) - 54,3;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 xml:space="preserve">- доля пациентов с инфарктом миокарда, госпитализированных </w:t>
      </w:r>
      <w:proofErr w:type="gramStart"/>
      <w:r w:rsidRPr="00B1363B">
        <w:t>в первые</w:t>
      </w:r>
      <w:proofErr w:type="gramEnd"/>
      <w:r w:rsidRPr="00B1363B">
        <w:t xml:space="preserve"> 6 часов от начала заболевания, в общем количестве госпитализированных пациентов с инфарктом миокарда (процентов) - 29,1;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 xml:space="preserve">- доля пациентов с острым инфарктом миокарда, которым проведена </w:t>
      </w:r>
      <w:proofErr w:type="spellStart"/>
      <w:r w:rsidRPr="00B1363B">
        <w:t>тромболитическая</w:t>
      </w:r>
      <w:proofErr w:type="spellEnd"/>
      <w:r w:rsidRPr="00B1363B">
        <w:t xml:space="preserve"> терапия, в общем количестве пациентов с острым инфарктом миокарда (процентов) - 18,0;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 xml:space="preserve">- доля пациентов с острым инфарктом миокарда, которым проведено </w:t>
      </w:r>
      <w:proofErr w:type="spellStart"/>
      <w:r w:rsidRPr="00B1363B">
        <w:t>стентирование</w:t>
      </w:r>
      <w:proofErr w:type="spellEnd"/>
      <w:r w:rsidRPr="00B1363B">
        <w:t xml:space="preserve"> коронарных артерий, в общем количестве пациентов с острым инфарктом миокарда (процентов) - 33,3;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 xml:space="preserve">- доля пациентов с острым и повторным инфарктом миокарда, которым выездной бригадой скорой медицинской помощи </w:t>
      </w:r>
      <w:proofErr w:type="gramStart"/>
      <w:r w:rsidRPr="00B1363B">
        <w:t>проведен</w:t>
      </w:r>
      <w:proofErr w:type="gramEnd"/>
      <w:r w:rsidRPr="00B1363B">
        <w:t xml:space="preserve"> </w:t>
      </w:r>
      <w:proofErr w:type="spellStart"/>
      <w:r w:rsidRPr="00B1363B">
        <w:t>тромболизис</w:t>
      </w:r>
      <w:proofErr w:type="spellEnd"/>
      <w:r w:rsidRPr="00B1363B">
        <w:t>, в общем количестве пациентов с острым и повторным инфарктом миокарда, которым оказана медицинская помощь выездными бригадами скорой медицинской помощи (процентов), - 9,2;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lastRenderedPageBreak/>
        <w:t xml:space="preserve">- доля пациентов с острыми цереброваскулярными болезнями, госпитализированных </w:t>
      </w:r>
      <w:proofErr w:type="gramStart"/>
      <w:r w:rsidRPr="00B1363B">
        <w:t>в первые</w:t>
      </w:r>
      <w:proofErr w:type="gramEnd"/>
      <w:r w:rsidRPr="00B1363B">
        <w:t xml:space="preserve"> 6 часов от начала заболевания, в общем количестве госпитализированных пациентов с острыми цереброваскулярными болезнями (процентов) - 68,5;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 xml:space="preserve">- доля пациентов с острым ишемическим инсультом, которым проведена </w:t>
      </w:r>
      <w:proofErr w:type="spellStart"/>
      <w:r w:rsidRPr="00B1363B">
        <w:t>тромболитическая</w:t>
      </w:r>
      <w:proofErr w:type="spellEnd"/>
      <w:r w:rsidRPr="00B1363B">
        <w:t xml:space="preserve"> терапия </w:t>
      </w:r>
      <w:proofErr w:type="gramStart"/>
      <w:r w:rsidRPr="00B1363B">
        <w:t>в первые</w:t>
      </w:r>
      <w:proofErr w:type="gramEnd"/>
      <w:r w:rsidRPr="00B1363B">
        <w:t xml:space="preserve"> 6 часов госпитализации, в общем количестве пациентов с острым ишемическим инсультом (процентов) - 2,2;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количество обоснованных жалоб, в том числе на отказ в оказании медицинской помощи, предоставляемой в рамках Программы (единиц), - 28,0.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Критериями доступности медицинской помощи в 2016 году являются: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обеспеченность населения врачами (на 10 тыс. человек населения, включая городское и сельское население), в том числе оказывающими медицинскую помощь в амбулаторных и стационарных условиях, - 41,2, включая городское население - 37,6, сельское население - 18,9, в амбулаторных условиях - 22,6, в стационарных условиях - 15,8;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обеспеченность населения средним медицинским персоналом (на 10 тыс. человек населения, включая городское и сельское население), в том числе оказывающим медицинскую помощь в амбулаторных и стационарных условиях, - 101,2, включая городское население - 73,4, сельское население - 79,2, в амбулаторных условиях - 47,7, в стационарных условиях - 48,6;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средняя длительность лечения в медицинских организациях, оказывающих медицинскую помощь в стационарных условиях (в среднем по Омской области), (дней) - 11,5;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расходов на оказание медицинской помощи в условиях дневных стационаров в общих расходах на Программу (процентов) - 7,5;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 xml:space="preserve">- доля расходов </w:t>
      </w:r>
      <w:proofErr w:type="gramStart"/>
      <w:r w:rsidRPr="00B1363B">
        <w:t>на оказание медицинской помощи в амбулаторных условиях в неотложной форме в общих расходах на Программу</w:t>
      </w:r>
      <w:proofErr w:type="gramEnd"/>
      <w:r w:rsidRPr="00B1363B">
        <w:t xml:space="preserve"> (процентов) - 2,7;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охвата профилактическими медицинскими осмотрами детей, в том числе городских и сельских жителей (процентов), - 95,0, в том числе проживающих в городской местности - 95,0, сельской местности - 95,0;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пациентов, получивших специализированную медицинскую помощь в стационарных условиях в медицинских организациях, подведомственных федеральным органам исполнительной власти, в общем числе пациентов, которым была оказана медицинская помощь в стационарных условиях в рамках территориальной программы ОМС (процентов), - 0,74;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число лиц, проживающих в сельской местности, которым оказана скорая медицинская помощь (на 1 тыс. человек сельского населения), - 158,0;</w:t>
      </w:r>
    </w:p>
    <w:p w:rsidR="00B1363B" w:rsidRPr="00B1363B" w:rsidRDefault="00B1363B" w:rsidP="00B1363B">
      <w:pPr>
        <w:pStyle w:val="ConsPlusNormal"/>
        <w:ind w:firstLine="540"/>
        <w:jc w:val="both"/>
      </w:pPr>
      <w:r w:rsidRPr="00B1363B">
        <w:t>- доля фельдшерско-акушерских пунктов и фельдшерских пунктов, находящихся в аварийном состоянии и требующих капитального ремонта, в общем количестве фельдшерско-акушерских пунктов и фельдшерских пунктов (процентов) - 27,5.</w:t>
      </w:r>
    </w:p>
    <w:p w:rsidR="00AF21D5" w:rsidRPr="00B1363B" w:rsidRDefault="00AF21D5" w:rsidP="00B1363B">
      <w:pPr>
        <w:pStyle w:val="ConsPlusNormal"/>
        <w:ind w:firstLine="540"/>
        <w:jc w:val="both"/>
      </w:pPr>
    </w:p>
    <w:sectPr w:rsidR="00AF21D5" w:rsidRPr="00B1363B" w:rsidSect="006C6F92">
      <w:pgSz w:w="11906" w:h="16838"/>
      <w:pgMar w:top="1440" w:right="566" w:bottom="1440" w:left="1133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A3692"/>
    <w:rsid w:val="0029080F"/>
    <w:rsid w:val="002B6AF6"/>
    <w:rsid w:val="00310B21"/>
    <w:rsid w:val="008346F9"/>
    <w:rsid w:val="00846E54"/>
    <w:rsid w:val="00946097"/>
    <w:rsid w:val="00AA3692"/>
    <w:rsid w:val="00AF21D5"/>
    <w:rsid w:val="00B1363B"/>
    <w:rsid w:val="00BD7F21"/>
    <w:rsid w:val="00EB3A69"/>
    <w:rsid w:val="00F03C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A369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apple-converted-space">
    <w:name w:val="apple-converted-space"/>
    <w:basedOn w:val="a0"/>
    <w:rsid w:val="00EB3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pritulina</dc:creator>
  <cp:lastModifiedBy>pritulina</cp:lastModifiedBy>
  <cp:revision>3</cp:revision>
  <dcterms:created xsi:type="dcterms:W3CDTF">2015-10-15T04:25:00Z</dcterms:created>
  <dcterms:modified xsi:type="dcterms:W3CDTF">2016-01-19T05:08:00Z</dcterms:modified>
</cp:coreProperties>
</file>