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d8b152b8379dab4ab10112d896cf76745f45c64"/>
    <w:p>
      <w:pPr>
        <w:pStyle w:val="Heading1"/>
      </w:pPr>
      <w:r>
        <w:t xml:space="preserve">Değerlendirme Metrikleri ve Hesaplama Süreci</w:t>
      </w:r>
    </w:p>
    <w:p>
      <w:pPr>
        <w:pStyle w:val="FirstParagraph"/>
      </w:pPr>
      <w:r>
        <w:t xml:space="preserve">Bu çalışmada çeviri kalitesi dört metrikle ölçülmüştür: BLEU, METEOR, chrF++ ve TER. Tüm metriklerden önce ortak bir normalizasyon uygulanmıştır.</w:t>
      </w:r>
    </w:p>
    <w:bookmarkStart w:id="9" w:name="ortak-ön-işleme-normalization"/>
    <w:p>
      <w:pPr>
        <w:pStyle w:val="Heading2"/>
      </w:pPr>
      <w:r>
        <w:t xml:space="preserve">1) Ortak Ön İşleme (Normalization)</w:t>
      </w:r>
    </w:p>
    <w:p>
      <w:pPr>
        <w:pStyle w:val="FirstParagraph"/>
      </w:pPr>
      <w:r>
        <w:t xml:space="preserve">Her hipotez ve referans metin şu sırayla normalize edilmiştir:</w:t>
      </w:r>
    </w:p>
    <w:p>
      <w:pPr>
        <w:pStyle w:val="Compact"/>
        <w:numPr>
          <w:ilvl w:val="0"/>
          <w:numId w:val="1001"/>
        </w:numPr>
      </w:pPr>
      <w:r>
        <w:t xml:space="preserve">Unicode NFKD dönüşümü</w:t>
      </w:r>
    </w:p>
    <w:p>
      <w:pPr>
        <w:pStyle w:val="Compact"/>
        <w:numPr>
          <w:ilvl w:val="0"/>
          <w:numId w:val="1001"/>
        </w:numPr>
      </w:pPr>
      <w:r>
        <w:t xml:space="preserve">Diakritik (aksan) kaldırma</w:t>
      </w:r>
    </w:p>
    <w:p>
      <w:pPr>
        <w:pStyle w:val="Compact"/>
        <w:numPr>
          <w:ilvl w:val="0"/>
          <w:numId w:val="1001"/>
        </w:numPr>
      </w:pPr>
      <w:r>
        <w:t xml:space="preserve">Büyük-küçük harf duyarsızlaştırma (casefold)</w:t>
      </w:r>
    </w:p>
    <w:p>
      <w:pPr>
        <w:pStyle w:val="Compact"/>
        <w:numPr>
          <w:ilvl w:val="0"/>
          <w:numId w:val="1001"/>
        </w:numPr>
      </w:pPr>
      <w:r>
        <w:t xml:space="preserve">Noktalama karakterlerini temizleme</w:t>
      </w:r>
    </w:p>
    <w:p>
      <w:pPr>
        <w:pStyle w:val="Compact"/>
        <w:numPr>
          <w:ilvl w:val="0"/>
          <w:numId w:val="1001"/>
        </w:numPr>
      </w:pPr>
      <w:r>
        <w:t xml:space="preserve">Çoklu boşlukları tek boşluğa indirme</w:t>
      </w:r>
    </w:p>
    <w:p>
      <w:pPr>
        <w:pStyle w:val="FirstParagraph"/>
      </w:pPr>
      <w:r>
        <w:t xml:space="preserve">Matematiksel gösterim: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m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z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"/>
    <w:bookmarkStart w:id="10" w:name="bleu-sacrebleu"/>
    <w:p>
      <w:pPr>
        <w:pStyle w:val="Heading2"/>
      </w:pPr>
      <w:r>
        <w:t xml:space="preserve">2) BLEU (SacreBLEU)</w:t>
      </w:r>
    </w:p>
    <w:p>
      <w:pPr>
        <w:pStyle w:val="FirstParagraph"/>
      </w:pPr>
      <w:r>
        <w:t xml:space="preserve">BLEU metriği SacreBLEU ile hesaplanmıştır.</w:t>
      </w:r>
    </w:p>
    <w:p>
      <w:pPr>
        <w:pStyle w:val="Compact"/>
        <w:numPr>
          <w:ilvl w:val="0"/>
          <w:numId w:val="1002"/>
        </w:numPr>
      </w:pPr>
      <w:r>
        <w:t xml:space="preserve">Kısa metinler için (minimum token sayısı &lt;= 6) sentence-level BLEU</w:t>
      </w:r>
    </w:p>
    <w:p>
      <w:pPr>
        <w:pStyle w:val="Compact"/>
        <w:numPr>
          <w:ilvl w:val="0"/>
          <w:numId w:val="1002"/>
        </w:numPr>
      </w:pPr>
      <w:r>
        <w:t xml:space="preserve">Diğerlerinde corpus-level BLEU</w:t>
      </w:r>
    </w:p>
    <w:p>
      <w:pPr>
        <w:pStyle w:val="Compact"/>
        <w:numPr>
          <w:ilvl w:val="0"/>
          <w:numId w:val="1002"/>
        </w:numPr>
      </w:pPr>
      <w:r>
        <w:t xml:space="preserve">Sonuç 0-100 aralığından 0-1 aralığına dönüştürülmüştür</w:t>
      </w:r>
    </w:p>
    <w:p>
      <w:pPr>
        <w:pStyle w:val="FirstParagraph"/>
      </w:pPr>
      <w:r>
        <w:t xml:space="preserve">Formül: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L</m:t>
          </m:r>
          <m:r>
            <m:rPr>
              <m:sty m:val="p"/>
            </m:rPr>
            <m:t>E</m:t>
          </m:r>
          <m:r>
            <m:rPr>
              <m:sty m:val="p"/>
            </m:rPr>
            <m:t>U</m:t>
          </m:r>
          <m:r>
            <m:rPr>
              <m:sty m:val="p"/>
            </m:rPr>
            <m:t>=</m:t>
          </m:r>
          <m:r>
            <m:rPr>
              <m:sty m:val="p"/>
            </m:rPr>
            <m:t>B</m:t>
          </m:r>
          <m:r>
            <m:rPr>
              <m:sty m:val="p"/>
            </m:rPr>
            <m:t>P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Burada: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: n-gram precision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: n-gram ağırlıkları,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3"/>
        </w:numPr>
      </w:pPr>
      <w:r>
        <w:t xml:space="preserve">BP: brevity penalty</w:t>
      </w:r>
    </w:p>
    <w:bookmarkEnd w:id="10"/>
    <w:bookmarkStart w:id="11" w:name="meteor-nltk"/>
    <w:p>
      <w:pPr>
        <w:pStyle w:val="Heading2"/>
      </w:pPr>
      <w:r>
        <w:t xml:space="preserve">3) METEOR (NLTK)</w:t>
      </w:r>
    </w:p>
    <w:p>
      <w:pPr>
        <w:pStyle w:val="FirstParagraph"/>
      </w:pPr>
      <w:r>
        <w:t xml:space="preserve">METEOR, NLTK meteor_score ile normalize edilmiş tokenlar üzerinden hesaplanmıştır.</w:t>
      </w:r>
    </w:p>
    <w:p>
      <w:pPr>
        <w:pStyle w:val="BodyText"/>
      </w:pPr>
      <w:r>
        <w:t xml:space="preserve">Formül: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E</m:t>
          </m:r>
          <m:r>
            <m:rPr>
              <m:sty m:val="p"/>
            </m:rPr>
            <m:t>T</m:t>
          </m:r>
          <m:r>
            <m:rPr>
              <m:sty m:val="p"/>
            </m:rPr>
            <m:t>E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</m:t>
          </m:r>
          <m:r>
            <m:rPr>
              <m:sty m:val="p"/>
            </m:rPr>
            <m:t>e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t</m:t>
          </m:r>
          <m:r>
            <m:rPr>
              <m:sty m:val="p"/>
            </m:rP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F</m:t>
              </m:r>
            </m:e>
            <m:sub>
              <m:r>
                <m:t>α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t>R</m:t>
              </m:r>
            </m:num>
            <m:den>
              <m:r>
                <m:t>α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R</m:t>
              </m:r>
            </m:den>
          </m:f>
        </m:oMath>
      </m:oMathPara>
    </w:p>
    <w:p>
      <w:pPr>
        <w:pStyle w:val="FirstParagraph"/>
      </w:pPr>
      <w:r>
        <w:t xml:space="preserve">Burada: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: precision</w:t>
      </w:r>
    </w:p>
    <w:p>
      <w:pPr>
        <w:pStyle w:val="Compact"/>
        <w:numPr>
          <w:ilvl w:val="0"/>
          <w:numId w:val="1004"/>
        </w:numPr>
      </w:pPr>
      <m:oMath>
        <m:r>
          <m:t>R</m:t>
        </m:r>
      </m:oMath>
      <w:r>
        <w:t xml:space="preserve">: recall</w:t>
      </w:r>
    </w:p>
    <w:p>
      <w:pPr>
        <w:pStyle w:val="Compact"/>
        <w:numPr>
          <w:ilvl w:val="0"/>
          <w:numId w:val="1004"/>
        </w:numPr>
      </w:pPr>
      <w:r>
        <w:t xml:space="preserve">Penalty: parçalanma cezası</w:t>
      </w:r>
    </w:p>
    <w:bookmarkEnd w:id="11"/>
    <w:bookmarkStart w:id="12" w:name="chrf-sacrebleu"/>
    <w:p>
      <w:pPr>
        <w:pStyle w:val="Heading2"/>
      </w:pPr>
      <w:r>
        <w:t xml:space="preserve">4) chrF++ (SacreBLEU)</w:t>
      </w:r>
    </w:p>
    <w:p>
      <w:pPr>
        <w:pStyle w:val="FirstParagraph"/>
      </w:pPr>
      <w:r>
        <w:t xml:space="preserve">chrF++ karakter düzeyinde F-skor yaklaşımıdır (chrF++ varyantında kelime bilgisi de kullanılır). Sonuç 0-100’den 0-1’e ölçeklenmiştir.</w:t>
      </w:r>
    </w:p>
    <w:p>
      <w:pPr>
        <w:pStyle w:val="BodyText"/>
      </w:pPr>
      <w:r>
        <w:t xml:space="preserve">Genel form: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F</m:t>
              </m:r>
            </m:e>
            <m:sub>
              <m:r>
                <m:t>β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β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P</m:t>
              </m:r>
              <m:r>
                <m:t>R</m:t>
              </m:r>
            </m:num>
            <m:den>
              <m:sSup>
                <m:e>
                  <m:r>
                    <m:t>β</m:t>
                  </m:r>
                </m:e>
                <m:sup>
                  <m:r>
                    <m:t>2</m:t>
                  </m:r>
                </m:sup>
              </m:sSup>
              <m:r>
                <m:t>P</m:t>
              </m:r>
              <m:r>
                <m:rPr>
                  <m:sty m:val="p"/>
                </m:rPr>
                <m:t>+</m:t>
              </m:r>
              <m:r>
                <m:t>R</m:t>
              </m:r>
            </m:den>
          </m:f>
        </m:oMath>
      </m:oMathPara>
    </w:p>
    <w:bookmarkEnd w:id="12"/>
    <w:bookmarkStart w:id="13" w:name="ter-sacrebleu"/>
    <w:p>
      <w:pPr>
        <w:pStyle w:val="Heading2"/>
      </w:pPr>
      <w:r>
        <w:t xml:space="preserve">5) TER (SacreBLEU)</w:t>
      </w:r>
    </w:p>
    <w:p>
      <w:pPr>
        <w:pStyle w:val="FirstParagraph"/>
      </w:pPr>
      <w:r>
        <w:t xml:space="preserve">TER, çeviriyi referansa dönüştürmek için gereken edit işlemlerinin referans kelime sayısına oranıdır. Sonuç 0-100’den 0-1’e çevrilmiştir.</w:t>
      </w:r>
    </w:p>
    <w:p>
      <w:pPr>
        <w:pStyle w:val="BodyText"/>
      </w:pPr>
      <w:r>
        <w:t xml:space="preserve">Formül: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</m:t>
          </m:r>
          <m:r>
            <m:rPr>
              <m:sty m:val="p"/>
            </m:rPr>
            <m:t>E</m:t>
          </m:r>
          <m:r>
            <m:rPr>
              <m:sty m:val="p"/>
            </m:rP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#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s</m:t>
              </m:r>
            </m:num>
            <m:den>
              <m:r>
                <m:rPr>
                  <m:sty m:val="p"/>
                </m:rPr>
                <m:t>#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s</m:t>
              </m:r>
            </m:den>
          </m:f>
        </m:oMath>
      </m:oMathPara>
    </w:p>
    <w:p>
      <w:pPr>
        <w:pStyle w:val="FirstParagraph"/>
      </w:pPr>
      <w:r>
        <w:t xml:space="preserve">Not: TER’de düşük değer daha iyidir.</w:t>
      </w:r>
    </w:p>
    <w:bookmarkEnd w:id="13"/>
    <w:bookmarkStart w:id="14" w:name="birleşik-doğruluk-skoru"/>
    <w:p>
      <w:pPr>
        <w:pStyle w:val="Heading2"/>
      </w:pPr>
      <w:r>
        <w:t xml:space="preserve">6) Birleşik Doğruluk Skoru</w:t>
      </w:r>
    </w:p>
    <w:p>
      <w:pPr>
        <w:pStyle w:val="FirstParagraph"/>
      </w:pPr>
      <w:r>
        <w:t xml:space="preserve">Arayüzde tekil doğruluk yüzdesi şu şekilde hesaplanmıştır: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y</m:t>
          </m:r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</m:num>
            <m:den>
              <m:r>
                <m:t>4</m:t>
              </m:r>
            </m:den>
          </m:f>
        </m:oMath>
      </m:oMathPara>
    </w:p>
    <w:p>
      <w:pPr>
        <w:pStyle w:val="FirstParagraph"/>
      </w:pPr>
      <w:r>
        <w:t xml:space="preserve">Burada TER terslenerek diğer metriklerle aynı yönde yorumlanmıştır.</w:t>
      </w:r>
    </w:p>
    <w:bookmarkEnd w:id="14"/>
    <w:bookmarkEnd w:id="15"/>
    <w:p>
      <w:pPr>
        <w:pStyle w:val="Heading2"/>
      </w:pPr>
      <w:r>
        <w:t>COMET</w:t>
      </w:r>
    </w:p>
    <w:p>
      <w:r>
        <w:t>COMET, egitilmis bir kalite modeli kullanir. Girdi olarak kaynak (src), sistem cevirisi (mt) ve referans (ref) alir ve tek bir kalite skoru uretir.</w:t>
      </w:r>
    </w:p>
    <w:p>
      <w:r>
        <w:t>Model, semantik uyumu da dikkate alarak insan benzeri kalite tahmini yapmayi hedefler.</w:t>
      </w:r>
    </w:p>
    <w:p>
      <w:r>
        <w:t>Yorum: Yuksek skor daha iyi kaliteyi gosterir.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2026-03-31T12:49:02Z</dcterms:created>
  <dcterms:modified xsi:type="dcterms:W3CDTF">2026-03-31T12:49:02Z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