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Employee Handbook</w:t>
      </w:r>
    </w:p>
    <w:p>
      <w:r>
        <w:t>Welcome to Northwind Cloud. This handbook summarizes our core people policies.</w:t>
      </w:r>
    </w:p>
    <w:p>
      <w:pPr>
        <w:pStyle w:val="Heading2"/>
      </w:pPr>
      <w:r>
        <w:t>Paid Time Off</w:t>
      </w:r>
    </w:p>
    <w:p>
      <w:r>
        <w:t>Full-time employees receive 25 days of paid vacation per calendar year, plus public holidays. Up to 5 unused days can be carried over to the next year.</w:t>
      </w:r>
    </w:p>
    <w:p>
      <w:pPr>
        <w:pStyle w:val="Heading2"/>
      </w:pPr>
      <w:r>
        <w:t>Remote Work</w:t>
      </w:r>
    </w:p>
    <w:p>
      <w:r>
        <w:t>Employees may work remotely up to 3 days per week. Fully remote arrangements require approval from both the team manager and the People team.</w:t>
      </w:r>
    </w:p>
    <w:p>
      <w:pPr>
        <w:pStyle w:val="ListBullet"/>
      </w:pPr>
      <w:r>
        <w:t>Core collaboration hours are 10:00 to 15:00 in the team's home time zone.</w:t>
      </w:r>
    </w:p>
    <w:p>
      <w:pPr>
        <w:pStyle w:val="ListBullet"/>
      </w:pPr>
      <w:r>
        <w:t>A home-office stipend of 500 EUR is available once every two years.</w:t>
      </w:r>
    </w:p>
    <w:p>
      <w:pPr>
        <w:pStyle w:val="Heading2"/>
      </w:pPr>
      <w:r>
        <w:t>Expense Reimbursement</w:t>
      </w:r>
    </w:p>
    <w:p>
      <w:r>
        <w:t>Business expenses are reimbursed within 14 days of an approved expense report. Daily limits per category are listed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Daily limit</w:t>
            </w:r>
          </w:p>
        </w:tc>
      </w:tr>
      <w:tr>
        <w:tc>
          <w:tcPr>
            <w:tcW w:type="dxa" w:w="4320"/>
          </w:tcPr>
          <w:p>
            <w:r>
              <w:t>Meals</w:t>
            </w:r>
          </w:p>
        </w:tc>
        <w:tc>
          <w:tcPr>
            <w:tcW w:type="dxa" w:w="4320"/>
          </w:tcPr>
          <w:p>
            <w:r>
              <w:t>60 EUR</w:t>
            </w:r>
          </w:p>
        </w:tc>
      </w:tr>
      <w:tr>
        <w:tc>
          <w:tcPr>
            <w:tcW w:type="dxa" w:w="4320"/>
          </w:tcPr>
          <w:p>
            <w:r>
              <w:t>Hotel</w:t>
            </w:r>
          </w:p>
        </w:tc>
        <w:tc>
          <w:tcPr>
            <w:tcW w:type="dxa" w:w="4320"/>
          </w:tcPr>
          <w:p>
            <w:r>
              <w:t>180 EUR</w:t>
            </w:r>
          </w:p>
        </w:tc>
      </w:tr>
      <w:tr>
        <w:tc>
          <w:tcPr>
            <w:tcW w:type="dxa" w:w="4320"/>
          </w:tcPr>
          <w:p>
            <w:r>
              <w:t>Local transport</w:t>
            </w:r>
          </w:p>
        </w:tc>
        <w:tc>
          <w:tcPr>
            <w:tcW w:type="dxa" w:w="4320"/>
          </w:tcPr>
          <w:p>
            <w:r>
              <w:t>40 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Employee Handbook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