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VRIS™ Gap Analysis Pricing Structure</w:t>
      </w:r>
    </w:p>
    <w:p>
      <w:r>
        <w:br/>
        <w:t xml:space="preserve">The VRIS™ (Veteran Rating Intelligence System) Gap Analysis pricing model is based on the estimated percentage increase </w:t>
        <w:br/>
        <w:t xml:space="preserve">in disability rating that VRIS™ believes a veteran may qualify for. This dynamic pricing ensures veterans only pay </w:t>
        <w:br/>
        <w:t>for the level of analysis that reflects their potential rating improvement.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Estimated Rating Increase (VRIS™ Confidence)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5–15%</w:t>
            </w:r>
          </w:p>
        </w:tc>
        <w:tc>
          <w:tcPr>
            <w:tcW w:type="dxa" w:w="2880"/>
          </w:tcPr>
          <w:p>
            <w:r>
              <w:t>Minor underrating or single condition update likely (e.g., overlooked medical evidence or outdated exam).</w:t>
            </w:r>
          </w:p>
        </w:tc>
        <w:tc>
          <w:tcPr>
            <w:tcW w:type="dxa" w:w="2880"/>
          </w:tcPr>
          <w:p>
            <w:r>
              <w:t>$499</w:t>
            </w:r>
          </w:p>
        </w:tc>
      </w:tr>
      <w:tr>
        <w:tc>
          <w:tcPr>
            <w:tcW w:type="dxa" w:w="2880"/>
          </w:tcPr>
          <w:p>
            <w:r>
              <w:t>15–25%</w:t>
            </w:r>
          </w:p>
        </w:tc>
        <w:tc>
          <w:tcPr>
            <w:tcW w:type="dxa" w:w="2880"/>
          </w:tcPr>
          <w:p>
            <w:r>
              <w:t>Multiple rating discrepancies or secondary conditions likely contributing to under-compensation.</w:t>
            </w:r>
          </w:p>
        </w:tc>
        <w:tc>
          <w:tcPr>
            <w:tcW w:type="dxa" w:w="2880"/>
          </w:tcPr>
          <w:p>
            <w:r>
              <w:t>$649</w:t>
            </w:r>
          </w:p>
        </w:tc>
      </w:tr>
      <w:tr>
        <w:tc>
          <w:tcPr>
            <w:tcW w:type="dxa" w:w="2880"/>
          </w:tcPr>
          <w:p>
            <w:r>
              <w:t>25–50%</w:t>
            </w:r>
          </w:p>
        </w:tc>
        <w:tc>
          <w:tcPr>
            <w:tcW w:type="dxa" w:w="2880"/>
          </w:tcPr>
          <w:p>
            <w:r>
              <w:t>Significant missed or secondary conditions identified; may include multiple CFR code corrections.</w:t>
            </w:r>
          </w:p>
        </w:tc>
        <w:tc>
          <w:tcPr>
            <w:tcW w:type="dxa" w:w="2880"/>
          </w:tcPr>
          <w:p>
            <w:r>
              <w:t>$799</w:t>
            </w:r>
          </w:p>
        </w:tc>
      </w:tr>
      <w:tr>
        <w:tc>
          <w:tcPr>
            <w:tcW w:type="dxa" w:w="2880"/>
          </w:tcPr>
          <w:p>
            <w:r>
              <w:t>50%+</w:t>
            </w:r>
          </w:p>
        </w:tc>
        <w:tc>
          <w:tcPr>
            <w:tcW w:type="dxa" w:w="2880"/>
          </w:tcPr>
          <w:p>
            <w:r>
              <w:t>Major underrating detected; multiple unclaimed, secondary, or misclassified conditions. Requires extensive documentation and evidence mapping.</w:t>
            </w:r>
          </w:p>
        </w:tc>
        <w:tc>
          <w:tcPr>
            <w:tcW w:type="dxa" w:w="2880"/>
          </w:tcPr>
          <w:p>
            <w:r>
              <w:t>$999</w:t>
            </w:r>
          </w:p>
        </w:tc>
      </w:tr>
    </w:tbl>
    <w:p>
      <w:pPr>
        <w:pStyle w:val="Heading2"/>
      </w:pPr>
      <w:r>
        <w:t>Guarantee</w:t>
      </w:r>
    </w:p>
    <w:p>
      <w:r>
        <w:br/>
        <w:t xml:space="preserve">If VRIS™ determines you are eligible for a minimum 5% increase and the VA does not award at least that increase after appeal, </w:t>
        <w:br/>
        <w:t>we will refund your payment in full.</w:t>
        <w:br/>
      </w:r>
    </w:p>
    <w:p>
      <w:r>
        <w:br/>
        <w:t xml:space="preserve">This transparent, value-based pricing model ensures that every veteran receives an equitable, evidence-driven analysis </w:t>
        <w:br/>
        <w:t>tailored to the complexity and potential impact of their claim.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