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GET VA HELP™ - Full Gap Analysis Report</w:t>
      </w:r>
    </w:p>
    <w:p>
      <w:r>
        <w:br/>
        <w:t>Veteran: John X. [Last Name Redacted]</w:t>
        <w:br/>
        <w:t>Service Branch: U.S. Army</w:t>
        <w:br/>
        <w:t>Date of Report: October 27, 2025</w:t>
        <w:br/>
        <w:t>Report Prepared By: Veteran Rating Intelligence System (VRIS™)</w:t>
        <w:br/>
        <w:t>Confidence Level: 93% Agreement (VRIS-A / VRIS-B)</w:t>
        <w:br/>
      </w:r>
    </w:p>
    <w:p>
      <w:pPr>
        <w:pStyle w:val="Heading2"/>
      </w:pPr>
      <w:r>
        <w:t>Overview</w:t>
      </w:r>
    </w:p>
    <w:p>
      <w:r>
        <w:br/>
        <w:t xml:space="preserve">VRIS™ conducted a comprehensive evaluation of the veteran’s claim record including the VA Rating Decision Letter, </w:t>
        <w:br/>
        <w:t xml:space="preserve">C&amp;P Exams, STRs, private records, and Secondary Conditions Questionnaire. The goal was to identify underrating, missed secondary conditions, </w:t>
        <w:br/>
        <w:t>and causal links under 38 CFR Part 4 and §3.310 that could increase the veteran’s combined rating.</w:t>
        <w:br/>
      </w:r>
    </w:p>
    <w:p>
      <w:pPr>
        <w:pStyle w:val="Heading2"/>
      </w:pPr>
      <w:r>
        <w:t>Current Rating Overview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Condition</w:t>
            </w:r>
          </w:p>
        </w:tc>
        <w:tc>
          <w:tcPr>
            <w:tcW w:type="dxa" w:w="2160"/>
          </w:tcPr>
          <w:p>
            <w:r>
              <w:t>Diagnostic Code (DC)</w:t>
            </w:r>
          </w:p>
        </w:tc>
        <w:tc>
          <w:tcPr>
            <w:tcW w:type="dxa" w:w="2160"/>
          </w:tcPr>
          <w:p>
            <w:r>
              <w:t>Current Rating</w:t>
            </w:r>
          </w:p>
        </w:tc>
        <w:tc>
          <w:tcPr>
            <w:tcW w:type="dxa" w:w="2160"/>
          </w:tcPr>
          <w:p>
            <w:r>
              <w:t>Effective Date</w:t>
            </w:r>
          </w:p>
        </w:tc>
      </w:tr>
      <w:tr>
        <w:tc>
          <w:tcPr>
            <w:tcW w:type="dxa" w:w="2160"/>
          </w:tcPr>
          <w:p>
            <w:r>
              <w:t>Lumbar Strain</w:t>
            </w:r>
          </w:p>
        </w:tc>
        <w:tc>
          <w:tcPr>
            <w:tcW w:type="dxa" w:w="2160"/>
          </w:tcPr>
          <w:p>
            <w:r>
              <w:t>5237</w:t>
            </w:r>
          </w:p>
        </w:tc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</w:tcPr>
          <w:p>
            <w:r>
              <w:t>05/12/2021</w:t>
            </w:r>
          </w:p>
        </w:tc>
      </w:tr>
      <w:tr>
        <w:tc>
          <w:tcPr>
            <w:tcW w:type="dxa" w:w="2160"/>
          </w:tcPr>
          <w:p>
            <w:r>
              <w:t>Left Knee Pain</w:t>
            </w:r>
          </w:p>
        </w:tc>
        <w:tc>
          <w:tcPr>
            <w:tcW w:type="dxa" w:w="2160"/>
          </w:tcPr>
          <w:p>
            <w:r>
              <w:t>5260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05/12/2021</w:t>
            </w:r>
          </w:p>
        </w:tc>
      </w:tr>
      <w:tr>
        <w:tc>
          <w:tcPr>
            <w:tcW w:type="dxa" w:w="2160"/>
          </w:tcPr>
          <w:p>
            <w:r>
              <w:t>Tinnitus</w:t>
            </w:r>
          </w:p>
        </w:tc>
        <w:tc>
          <w:tcPr>
            <w:tcW w:type="dxa" w:w="2160"/>
          </w:tcPr>
          <w:p>
            <w:r>
              <w:t>6260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05/12/2021</w:t>
            </w:r>
          </w:p>
        </w:tc>
      </w:tr>
      <w:tr>
        <w:tc>
          <w:tcPr>
            <w:tcW w:type="dxa" w:w="2160"/>
          </w:tcPr>
          <w:p>
            <w:r>
              <w:t>Allergic Rhinitis</w:t>
            </w:r>
          </w:p>
        </w:tc>
        <w:tc>
          <w:tcPr>
            <w:tcW w:type="dxa" w:w="2160"/>
          </w:tcPr>
          <w:p>
            <w:r>
              <w:t>6522</w:t>
            </w:r>
          </w:p>
        </w:tc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>
              <w:t>05/12/2021</w:t>
            </w:r>
          </w:p>
        </w:tc>
      </w:tr>
    </w:tbl>
    <w:p>
      <w:r>
        <w:t>Combined Rating: 40% | Monthly Compensation: $755.28 (Single Veteran, 2025 VA Chart)</w:t>
      </w:r>
    </w:p>
    <w:p>
      <w:pPr>
        <w:pStyle w:val="Heading2"/>
      </w:pPr>
      <w:r>
        <w:t>VRIS™ Findings &amp; Analysis</w:t>
      </w:r>
    </w:p>
    <w:p>
      <w:pPr>
        <w:pStyle w:val="Heading3"/>
      </w:pPr>
      <w:r>
        <w:t>Lumbar Strain (DC 5237)</w:t>
      </w:r>
    </w:p>
    <w:p>
      <w:r>
        <w:t>Analysis: C&amp;P exam showed forward flexion limited to 45° with pain; qualifies for 40% under CFR 4.71a due to pain and flare-ups.</w:t>
        <w:br/>
        <w:t>Recommendation: File Supplemental Claim for increased lumbar rating from 20% → 40%.</w:t>
        <w:br/>
        <w:t>Confidence: 95% (Strong)</w:t>
      </w:r>
    </w:p>
    <w:p>
      <w:pPr>
        <w:pStyle w:val="Heading3"/>
      </w:pPr>
      <w:r>
        <w:t>Sciatica – Left Lower Extremity</w:t>
      </w:r>
    </w:p>
    <w:p>
      <w:r>
        <w:t>Analysis: VA notes positive straight leg raise; radicular symptoms noted but not claimed under CFR 4.124a (8520).</w:t>
        <w:br/>
        <w:t>Recommendation: File New Secondary Claim, suggested rating 10%.</w:t>
        <w:br/>
        <w:t>Confidence: 90% (Strong)</w:t>
      </w:r>
    </w:p>
    <w:p>
      <w:pPr>
        <w:pStyle w:val="Heading3"/>
      </w:pPr>
      <w:r>
        <w:t>Sleep Disturbance due to Pain</w:t>
      </w:r>
    </w:p>
    <w:p>
      <w:r>
        <w:t>Analysis: Chronic pain-related insomnia documented; qualifies as secondary mental health condition under CFR 4.130.</w:t>
        <w:br/>
        <w:t>Recommendation: File New Secondary Claim for insomnia secondary to chronic pain, suggested rating 30%.</w:t>
        <w:br/>
        <w:t>Confidence: 85% (Moderate)</w:t>
      </w:r>
    </w:p>
    <w:p>
      <w:pPr>
        <w:pStyle w:val="Heading3"/>
      </w:pPr>
      <w:r>
        <w:t>GERD (Medication-Induced)</w:t>
      </w:r>
    </w:p>
    <w:p>
      <w:r>
        <w:t>Analysis: Long-term NSAID use caused reflux symptoms, linked to orthopedic conditions under CFR 4.114, DC 7346.</w:t>
        <w:br/>
        <w:t>Recommendation: File New Secondary Claim, suggested rating 10%.</w:t>
        <w:br/>
        <w:t>Confidence: 88% (Moderate-Strong)</w:t>
      </w:r>
    </w:p>
    <w:p>
      <w:pPr>
        <w:pStyle w:val="Heading2"/>
      </w:pPr>
      <w:r>
        <w:t>Phase 2 Correlative Findings</w:t>
      </w:r>
    </w:p>
    <w:p>
      <w:r>
        <w:t>Lower confidence findings that may merit review by the VSO representative: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Potential Condition</w:t>
            </w:r>
          </w:p>
        </w:tc>
        <w:tc>
          <w:tcPr>
            <w:tcW w:type="dxa" w:w="2880"/>
          </w:tcPr>
          <w:p>
            <w:r>
              <w:t>Possible Connection</w:t>
            </w:r>
          </w:p>
        </w:tc>
        <w:tc>
          <w:tcPr>
            <w:tcW w:type="dxa" w:w="2880"/>
          </w:tcPr>
          <w:p>
            <w:r>
              <w:t>Reason for Lower Confidence</w:t>
            </w:r>
          </w:p>
        </w:tc>
      </w:tr>
      <w:tr>
        <w:tc>
          <w:tcPr>
            <w:tcW w:type="dxa" w:w="2880"/>
          </w:tcPr>
          <w:p>
            <w:r>
              <w:t>Hypertension</w:t>
            </w:r>
          </w:p>
        </w:tc>
        <w:tc>
          <w:tcPr>
            <w:tcW w:type="dxa" w:w="2880"/>
          </w:tcPr>
          <w:p>
            <w:r>
              <w:t>Chronic pain, stress, and medication side effects</w:t>
            </w:r>
          </w:p>
        </w:tc>
        <w:tc>
          <w:tcPr>
            <w:tcW w:type="dxa" w:w="2880"/>
          </w:tcPr>
          <w:p>
            <w:r>
              <w:t>Insufficient chronic linkage data</w:t>
            </w:r>
          </w:p>
        </w:tc>
      </w:tr>
      <w:tr>
        <w:tc>
          <w:tcPr>
            <w:tcW w:type="dxa" w:w="2880"/>
          </w:tcPr>
          <w:p>
            <w:r>
              <w:t>Depression / Anxiety</w:t>
            </w:r>
          </w:p>
        </w:tc>
        <w:tc>
          <w:tcPr>
            <w:tcW w:type="dxa" w:w="2880"/>
          </w:tcPr>
          <w:p>
            <w:r>
              <w:t>Chronic pain and reduced activity</w:t>
            </w:r>
          </w:p>
        </w:tc>
        <w:tc>
          <w:tcPr>
            <w:tcW w:type="dxa" w:w="2880"/>
          </w:tcPr>
          <w:p>
            <w:r>
              <w:t>No formal diagnosis in records</w:t>
            </w:r>
          </w:p>
        </w:tc>
      </w:tr>
    </w:tbl>
    <w:p>
      <w:pPr>
        <w:pStyle w:val="Heading2"/>
      </w:pPr>
      <w:r>
        <w:t>Confidence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VRIS-A</w:t>
            </w:r>
          </w:p>
        </w:tc>
        <w:tc>
          <w:tcPr>
            <w:tcW w:type="dxa" w:w="2160"/>
          </w:tcPr>
          <w:p>
            <w:r>
              <w:t>VRIS-B</w:t>
            </w:r>
          </w:p>
        </w:tc>
        <w:tc>
          <w:tcPr>
            <w:tcW w:type="dxa" w:w="2160"/>
          </w:tcPr>
          <w:p>
            <w:r>
              <w:t>Agreement Level</w:t>
            </w:r>
          </w:p>
        </w:tc>
      </w:tr>
      <w:tr>
        <w:tc>
          <w:tcPr>
            <w:tcW w:type="dxa" w:w="2160"/>
          </w:tcPr>
          <w:p>
            <w:r>
              <w:t>Primary Conditions</w:t>
            </w:r>
          </w:p>
        </w:tc>
        <w:tc>
          <w:tcPr>
            <w:tcW w:type="dxa" w:w="2160"/>
          </w:tcPr>
          <w:p>
            <w:r>
              <w:t>96%</w:t>
            </w:r>
          </w:p>
        </w:tc>
        <w:tc>
          <w:tcPr>
            <w:tcW w:type="dxa" w:w="2160"/>
          </w:tcPr>
          <w:p>
            <w:r>
              <w:t>94%</w:t>
            </w:r>
          </w:p>
        </w:tc>
        <w:tc>
          <w:tcPr>
            <w:tcW w:type="dxa" w:w="2160"/>
          </w:tcPr>
          <w:p>
            <w:r>
              <w:t>95%</w:t>
            </w:r>
          </w:p>
        </w:tc>
      </w:tr>
      <w:tr>
        <w:tc>
          <w:tcPr>
            <w:tcW w:type="dxa" w:w="2160"/>
          </w:tcPr>
          <w:p>
            <w:r>
              <w:t>Secondary Conditions</w:t>
            </w:r>
          </w:p>
        </w:tc>
        <w:tc>
          <w:tcPr>
            <w:tcW w:type="dxa" w:w="2160"/>
          </w:tcPr>
          <w:p>
            <w:r>
              <w:t>88%</w:t>
            </w:r>
          </w:p>
        </w:tc>
        <w:tc>
          <w:tcPr>
            <w:tcW w:type="dxa" w:w="2160"/>
          </w:tcPr>
          <w:p>
            <w:r>
              <w:t>92%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Phase 2 Correlations</w:t>
            </w:r>
          </w:p>
        </w:tc>
        <w:tc>
          <w:tcPr>
            <w:tcW w:type="dxa" w:w="2160"/>
          </w:tcPr>
          <w:p>
            <w:r>
              <w:t>78%</w:t>
            </w:r>
          </w:p>
        </w:tc>
        <w:tc>
          <w:tcPr>
            <w:tcW w:type="dxa" w:w="2160"/>
          </w:tcPr>
          <w:p>
            <w:r>
              <w:t>74%</w:t>
            </w:r>
          </w:p>
        </w:tc>
        <w:tc>
          <w:tcPr>
            <w:tcW w:type="dxa" w:w="2160"/>
          </w:tcPr>
          <w:p>
            <w:r>
              <w:t>76%</w:t>
            </w:r>
          </w:p>
        </w:tc>
      </w:tr>
    </w:tbl>
    <w:p>
      <w:r>
        <w:t>Overall Confidence Score: 93% (Eligible for refund-backed rating prediction guarantee)</w:t>
      </w:r>
    </w:p>
    <w:p>
      <w:pPr>
        <w:pStyle w:val="Heading2"/>
      </w:pPr>
      <w:r>
        <w:t>Projected Rating &amp; Compensation Impact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Condition</w:t>
            </w:r>
          </w:p>
        </w:tc>
        <w:tc>
          <w:tcPr>
            <w:tcW w:type="dxa" w:w="4320"/>
          </w:tcPr>
          <w:p>
            <w:r>
              <w:t>Projected New Rating</w:t>
            </w:r>
          </w:p>
        </w:tc>
      </w:tr>
      <w:tr>
        <w:tc>
          <w:tcPr>
            <w:tcW w:type="dxa" w:w="4320"/>
          </w:tcPr>
          <w:p>
            <w:r>
              <w:t>Lumbar Strain</w:t>
            </w:r>
          </w:p>
        </w:tc>
        <w:tc>
          <w:tcPr>
            <w:tcW w:type="dxa" w:w="4320"/>
          </w:tcPr>
          <w:p>
            <w:r>
              <w:t>40%</w:t>
            </w:r>
          </w:p>
        </w:tc>
      </w:tr>
      <w:tr>
        <w:tc>
          <w:tcPr>
            <w:tcW w:type="dxa" w:w="4320"/>
          </w:tcPr>
          <w:p>
            <w:r>
              <w:t>Left Knee Pain</w:t>
            </w:r>
          </w:p>
        </w:tc>
        <w:tc>
          <w:tcPr>
            <w:tcW w:type="dxa" w:w="4320"/>
          </w:tcPr>
          <w:p>
            <w:r>
              <w:t>10%</w:t>
            </w:r>
          </w:p>
        </w:tc>
      </w:tr>
      <w:tr>
        <w:tc>
          <w:tcPr>
            <w:tcW w:type="dxa" w:w="4320"/>
          </w:tcPr>
          <w:p>
            <w:r>
              <w:t>Sciatica (LLE)</w:t>
            </w:r>
          </w:p>
        </w:tc>
        <w:tc>
          <w:tcPr>
            <w:tcW w:type="dxa" w:w="4320"/>
          </w:tcPr>
          <w:p>
            <w:r>
              <w:t>10%</w:t>
            </w:r>
          </w:p>
        </w:tc>
      </w:tr>
      <w:tr>
        <w:tc>
          <w:tcPr>
            <w:tcW w:type="dxa" w:w="4320"/>
          </w:tcPr>
          <w:p>
            <w:r>
              <w:t>Sleep Disorder</w:t>
            </w:r>
          </w:p>
        </w:tc>
        <w:tc>
          <w:tcPr>
            <w:tcW w:type="dxa" w:w="4320"/>
          </w:tcPr>
          <w:p>
            <w:r>
              <w:t>30%</w:t>
            </w:r>
          </w:p>
        </w:tc>
      </w:tr>
      <w:tr>
        <w:tc>
          <w:tcPr>
            <w:tcW w:type="dxa" w:w="4320"/>
          </w:tcPr>
          <w:p>
            <w:r>
              <w:t>GERD</w:t>
            </w:r>
          </w:p>
        </w:tc>
        <w:tc>
          <w:tcPr>
            <w:tcW w:type="dxa" w:w="4320"/>
          </w:tcPr>
          <w:p>
            <w:r>
              <w:t>10%</w:t>
            </w:r>
          </w:p>
        </w:tc>
      </w:tr>
    </w:tbl>
    <w:p>
      <w:r>
        <w:t>New Combined Rating: 70% (from 40%)</w:t>
        <w:br/>
        <w:t>Monthly Compensation: $1,716.28 (+$961/month increase)</w:t>
      </w:r>
    </w:p>
    <w:p>
      <w:pPr>
        <w:pStyle w:val="Heading2"/>
      </w:pPr>
      <w:r>
        <w:t>Filing Recommendation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Claim Type</w:t>
            </w:r>
          </w:p>
        </w:tc>
        <w:tc>
          <w:tcPr>
            <w:tcW w:type="dxa" w:w="2880"/>
          </w:tcPr>
          <w:p>
            <w:r>
              <w:t>Confidence</w:t>
            </w:r>
          </w:p>
        </w:tc>
      </w:tr>
      <w:tr>
        <w:tc>
          <w:tcPr>
            <w:tcW w:type="dxa" w:w="2880"/>
          </w:tcPr>
          <w:p>
            <w:r>
              <w:t>Increase for Lumbar Strain</w:t>
            </w:r>
          </w:p>
        </w:tc>
        <w:tc>
          <w:tcPr>
            <w:tcW w:type="dxa" w:w="2880"/>
          </w:tcPr>
          <w:p>
            <w:r>
              <w:t>Supplemental</w:t>
            </w:r>
          </w:p>
        </w:tc>
        <w:tc>
          <w:tcPr>
            <w:tcW w:type="dxa" w:w="2880"/>
          </w:tcPr>
          <w:p>
            <w:r>
              <w:t>95%</w:t>
            </w:r>
          </w:p>
        </w:tc>
      </w:tr>
      <w:tr>
        <w:tc>
          <w:tcPr>
            <w:tcW w:type="dxa" w:w="2880"/>
          </w:tcPr>
          <w:p>
            <w:r>
              <w:t>Secondary: Sciatica</w:t>
            </w:r>
          </w:p>
        </w:tc>
        <w:tc>
          <w:tcPr>
            <w:tcW w:type="dxa" w:w="2880"/>
          </w:tcPr>
          <w:p>
            <w:r>
              <w:t>Supplemental</w:t>
            </w:r>
          </w:p>
        </w:tc>
        <w:tc>
          <w:tcPr>
            <w:tcW w:type="dxa" w:w="2880"/>
          </w:tcPr>
          <w:p>
            <w:r>
              <w:t>90%</w:t>
            </w:r>
          </w:p>
        </w:tc>
      </w:tr>
      <w:tr>
        <w:tc>
          <w:tcPr>
            <w:tcW w:type="dxa" w:w="2880"/>
          </w:tcPr>
          <w:p>
            <w:r>
              <w:t>Secondary: Sleep Disorder</w:t>
            </w:r>
          </w:p>
        </w:tc>
        <w:tc>
          <w:tcPr>
            <w:tcW w:type="dxa" w:w="2880"/>
          </w:tcPr>
          <w:p>
            <w:r>
              <w:t>Supplemental</w:t>
            </w:r>
          </w:p>
        </w:tc>
        <w:tc>
          <w:tcPr>
            <w:tcW w:type="dxa" w:w="2880"/>
          </w:tcPr>
          <w:p>
            <w:r>
              <w:t>85%</w:t>
            </w:r>
          </w:p>
        </w:tc>
      </w:tr>
      <w:tr>
        <w:tc>
          <w:tcPr>
            <w:tcW w:type="dxa" w:w="2880"/>
          </w:tcPr>
          <w:p>
            <w:r>
              <w:t>Secondary: GERD</w:t>
            </w:r>
          </w:p>
        </w:tc>
        <w:tc>
          <w:tcPr>
            <w:tcW w:type="dxa" w:w="2880"/>
          </w:tcPr>
          <w:p>
            <w:r>
              <w:t>Supplemental</w:t>
            </w:r>
          </w:p>
        </w:tc>
        <w:tc>
          <w:tcPr>
            <w:tcW w:type="dxa" w:w="2880"/>
          </w:tcPr>
          <w:p>
            <w:r>
              <w:t>88%</w:t>
            </w:r>
          </w:p>
        </w:tc>
      </w:tr>
    </w:tbl>
    <w:p>
      <w:pPr>
        <w:pStyle w:val="Heading2"/>
      </w:pPr>
      <w:r>
        <w:t>Next Steps for the Veteran</w:t>
      </w:r>
    </w:p>
    <w:p>
      <w:r>
        <w:t>• File Supplemental Claim (VA Form 20-0995) for recommended increases.</w:t>
      </w:r>
    </w:p>
    <w:p>
      <w:r>
        <w:t>• Attach supporting documentation (C&amp;P, STRs, private records).</w:t>
      </w:r>
    </w:p>
    <w:p>
      <w:r>
        <w:t>• Consult your VSO or accredited representative (DAV, VFW, American Legion).</w:t>
      </w:r>
    </w:p>
    <w:p>
      <w:r>
        <w:t>• Monitor VA.gov for claim updates.</w:t>
      </w:r>
    </w:p>
    <w:p>
      <w:r>
        <w:t>• If denied, request Higher-Level Review (VA Form 20-0996) or BVA Appeal.</w:t>
      </w:r>
    </w:p>
    <w:p>
      <w:pPr>
        <w:pStyle w:val="Heading2"/>
      </w:pPr>
      <w:r>
        <w:t>Billing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Projected Rating Increase Range</w:t>
            </w:r>
          </w:p>
        </w:tc>
        <w:tc>
          <w:tcPr>
            <w:tcW w:type="dxa" w:w="2880"/>
          </w:tcPr>
          <w:p>
            <w:r>
              <w:t>Fee</w:t>
            </w:r>
          </w:p>
        </w:tc>
        <w:tc>
          <w:tcPr>
            <w:tcW w:type="dxa" w:w="2880"/>
          </w:tcPr>
          <w:p>
            <w:r>
              <w:t>Refund Policy</w:t>
            </w:r>
          </w:p>
        </w:tc>
      </w:tr>
      <w:tr>
        <w:tc>
          <w:tcPr>
            <w:tcW w:type="dxa" w:w="2880"/>
          </w:tcPr>
          <w:p>
            <w:r>
              <w:t>5–15%</w:t>
            </w:r>
          </w:p>
        </w:tc>
        <w:tc>
          <w:tcPr>
            <w:tcW w:type="dxa" w:w="2880"/>
          </w:tcPr>
          <w:p>
            <w:r>
              <w:t>$499</w:t>
            </w:r>
          </w:p>
        </w:tc>
        <w:tc>
          <w:tcPr>
            <w:tcW w:type="dxa" w:w="2880"/>
          </w:tcPr>
          <w:p>
            <w:r>
              <w:t>Refund difference if increase &lt;15%, no less than $499 minimum</w:t>
            </w:r>
          </w:p>
        </w:tc>
      </w:tr>
      <w:tr>
        <w:tc>
          <w:tcPr>
            <w:tcW w:type="dxa" w:w="2880"/>
          </w:tcPr>
          <w:p>
            <w:r>
              <w:t>16–25%</w:t>
            </w:r>
          </w:p>
        </w:tc>
        <w:tc>
          <w:tcPr>
            <w:tcW w:type="dxa" w:w="2880"/>
          </w:tcPr>
          <w:p>
            <w:r>
              <w:t>$649</w:t>
            </w:r>
          </w:p>
        </w:tc>
        <w:tc>
          <w:tcPr>
            <w:tcW w:type="dxa" w:w="2880"/>
          </w:tcPr>
          <w:p>
            <w:r>
              <w:t>Partial refund based on actual increase</w:t>
            </w:r>
          </w:p>
        </w:tc>
      </w:tr>
      <w:tr>
        <w:tc>
          <w:tcPr>
            <w:tcW w:type="dxa" w:w="2880"/>
          </w:tcPr>
          <w:p>
            <w:r>
              <w:t>26–50%</w:t>
            </w:r>
          </w:p>
        </w:tc>
        <w:tc>
          <w:tcPr>
            <w:tcW w:type="dxa" w:w="2880"/>
          </w:tcPr>
          <w:p>
            <w:r>
              <w:t>$799</w:t>
            </w:r>
          </w:p>
        </w:tc>
        <w:tc>
          <w:tcPr>
            <w:tcW w:type="dxa" w:w="2880"/>
          </w:tcPr>
          <w:p>
            <w:r>
              <w:t>Partial refund based on actual increase</w:t>
            </w:r>
          </w:p>
        </w:tc>
      </w:tr>
      <w:tr>
        <w:tc>
          <w:tcPr>
            <w:tcW w:type="dxa" w:w="2880"/>
          </w:tcPr>
          <w:p>
            <w:r>
              <w:t>51%+</w:t>
            </w:r>
          </w:p>
        </w:tc>
        <w:tc>
          <w:tcPr>
            <w:tcW w:type="dxa" w:w="2880"/>
          </w:tcPr>
          <w:p>
            <w:r>
              <w:t>$999</w:t>
            </w:r>
          </w:p>
        </w:tc>
        <w:tc>
          <w:tcPr>
            <w:tcW w:type="dxa" w:w="2880"/>
          </w:tcPr>
          <w:p>
            <w:r>
              <w:t>Refund only if increase &lt;5%</w:t>
            </w:r>
          </w:p>
        </w:tc>
      </w:tr>
    </w:tbl>
    <w:p>
      <w:pPr>
        <w:pStyle w:val="Heading2"/>
      </w:pPr>
      <w:r>
        <w:t>Disclaimer</w:t>
      </w:r>
    </w:p>
    <w:p>
      <w:r>
        <w:br/>
        <w:t>This report was prepared by VRIS™ (Veteran Rating Intelligence System) as part of the Get VA Help™ initiative.</w:t>
        <w:br/>
        <w:t>It is an intelligence-based assessment tool and not legal or medical advice. Findings are based on data provided</w:t>
        <w:br/>
        <w:t>and CFR regulations as of the report date. Veterans should consult a certified VSO for official submission.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