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240"/>
        <w:jc w:val="center"/>
        <w:rPr/>
      </w:pPr>
      <w:r>
        <w:rPr>
          <w:rFonts w:eastAsia="Arial" w:cs="Arial"/>
          <w:b/>
          <w:bCs/>
          <w:color w:val="1F3864"/>
          <w:sz w:val="56"/>
          <w:szCs w:val="56"/>
        </w:rPr>
        <w:t>Awami PC Recommender</w:t>
      </w:r>
    </w:p>
    <w:p>
      <w:pPr>
        <w:pStyle w:val="Normal"/>
        <w:spacing w:before="0" w:after="120"/>
        <w:jc w:val="center"/>
        <w:rPr/>
      </w:pPr>
      <w:r>
        <w:rPr>
          <w:rFonts w:eastAsia="Arial" w:cs="Arial"/>
          <w:color w:val="4472C4"/>
          <w:sz w:val="30"/>
          <w:szCs w:val="30"/>
        </w:rPr>
        <w:t>Hardware and Preference-Based Game Recommendation System</w:t>
      </w:r>
    </w:p>
    <w:p>
      <w:pPr>
        <w:pStyle w:val="Normal"/>
        <w:pBdr>
          <w:bottom w:val="single" w:sz="6" w:space="1" w:color="4472C4"/>
        </w:pBdr>
        <w:spacing w:before="80" w:after="80"/>
        <w:rPr/>
      </w:pPr>
      <w:r>
        <w:rPr/>
      </w:r>
    </w:p>
    <w:p>
      <w:pPr>
        <w:pStyle w:val="Normal"/>
        <w:spacing w:before="240" w:after="120"/>
        <w:jc w:val="center"/>
        <w:rPr/>
      </w:pPr>
      <w:r>
        <w:rPr>
          <w:rFonts w:eastAsia="Arial" w:cs="Arial"/>
          <w:b/>
          <w:bCs/>
          <w:color w:val="2E4057"/>
          <w:sz w:val="32"/>
          <w:szCs w:val="32"/>
        </w:rPr>
        <w:t>Final Project Report</w:t>
      </w:r>
    </w:p>
    <w:p>
      <w:pPr>
        <w:pStyle w:val="Normal"/>
        <w:spacing w:before="80" w:after="80"/>
        <w:jc w:val="center"/>
        <w:rPr/>
      </w:pPr>
      <w:r>
        <w:rPr>
          <w:rFonts w:eastAsia="Arial" w:cs="Arial"/>
          <w:color w:val="666666"/>
          <w:sz w:val="22"/>
          <w:szCs w:val="22"/>
        </w:rPr>
        <w:t>CS Department  |  Machine Learning</w:t>
      </w:r>
    </w:p>
    <w:p>
      <w:pPr>
        <w:pStyle w:val="Normal"/>
        <w:spacing w:before="480" w:after="120"/>
        <w:jc w:val="center"/>
        <w:rPr/>
      </w:pPr>
      <w:r>
        <w:rPr>
          <w:rFonts w:eastAsia="Arial" w:cs="Arial"/>
          <w:b/>
          <w:bCs/>
          <w:color w:val="1F3864"/>
          <w:sz w:val="26"/>
          <w:szCs w:val="26"/>
        </w:rPr>
        <w:t>Group Members</w:t>
      </w:r>
    </w:p>
    <w:p>
      <w:pPr>
        <w:pStyle w:val="Normal"/>
        <w:spacing w:before="80" w:after="60"/>
        <w:jc w:val="center"/>
        <w:rPr/>
      </w:pPr>
      <w:r>
        <w:rPr>
          <w:rFonts w:eastAsia="Arial" w:cs="Arial"/>
          <w:sz w:val="24"/>
          <w:szCs w:val="24"/>
        </w:rPr>
        <w:t>Muhammad Moosa  (24L-0561)</w:t>
      </w:r>
    </w:p>
    <w:p>
      <w:pPr>
        <w:pStyle w:val="Normal"/>
        <w:spacing w:before="60" w:after="60"/>
        <w:jc w:val="center"/>
        <w:rPr/>
      </w:pPr>
      <w:r>
        <w:rPr>
          <w:rFonts w:eastAsia="Arial" w:cs="Arial"/>
          <w:sz w:val="24"/>
          <w:szCs w:val="24"/>
        </w:rPr>
        <w:t>Syed Abdullah  (24L-0595)</w:t>
      </w:r>
    </w:p>
    <w:p>
      <w:pPr>
        <w:pStyle w:val="Normal"/>
        <w:spacing w:before="60" w:after="60"/>
        <w:jc w:val="center"/>
        <w:rPr/>
      </w:pPr>
      <w:r>
        <w:rPr>
          <w:rFonts w:eastAsia="Arial" w:cs="Arial"/>
          <w:sz w:val="24"/>
          <w:szCs w:val="24"/>
        </w:rPr>
        <w:t>Muhammad Talha  (24L-0618)</w:t>
      </w:r>
    </w:p>
    <w:p>
      <w:pPr>
        <w:pStyle w:val="Normal"/>
        <w:rPr/>
      </w:pPr>
      <w:r>
        <w:rPr/>
      </w:r>
      <w:r>
        <w:br w:type="page"/>
      </w:r>
    </w:p>
    <w:p>
      <w:pPr>
        <w:pStyle w:val="Heading1"/>
        <w:spacing w:before="0" w:after="160"/>
        <w:rPr/>
      </w:pPr>
      <w:r>
        <w:rPr>
          <w:rFonts w:eastAsia="Arial" w:cs="Arial" w:ascii="Arial" w:hAnsi="Arial"/>
          <w:b/>
          <w:bCs/>
          <w:color w:val="1F3864"/>
          <w:sz w:val="24"/>
          <w:szCs w:val="24"/>
        </w:rPr>
        <w:t>I. Dataset Identification and Description</w:t>
      </w:r>
    </w:p>
    <w:p>
      <w:pPr>
        <w:pStyle w:val="Normal"/>
        <w:pBdr>
          <w:bottom w:val="single" w:sz="6" w:space="1" w:color="2E4057"/>
        </w:pBdr>
        <w:spacing w:before="80" w:after="80"/>
        <w:rPr/>
      </w:pPr>
      <w:r>
        <w:rPr/>
      </w:r>
    </w:p>
    <w:p>
      <w:pPr>
        <w:pStyle w:val="Normal"/>
        <w:spacing w:before="80" w:after="120"/>
        <w:rPr/>
      </w:pPr>
      <w:r>
        <w:rPr>
          <w:rFonts w:eastAsia="Arial" w:cs="Arial"/>
          <w:b/>
          <w:bCs/>
          <w:sz w:val="22"/>
          <w:szCs w:val="22"/>
        </w:rPr>
        <w:t xml:space="preserve">Source: </w:t>
      </w:r>
      <w:r>
        <w:rPr>
          <w:rFonts w:eastAsia="Arial" w:cs="Arial"/>
          <w:sz w:val="22"/>
          <w:szCs w:val="22"/>
        </w:rPr>
        <w:t>Steam Store Games Dataset (Kaggle)</w:t>
      </w:r>
    </w:p>
    <w:p>
      <w:pPr>
        <w:pStyle w:val="Normal"/>
        <w:spacing w:before="80" w:after="120"/>
        <w:rPr/>
      </w:pPr>
      <w:r>
        <w:rPr>
          <w:rFonts w:eastAsia="Arial" w:cs="Arial"/>
          <w:sz w:val="22"/>
          <w:szCs w:val="22"/>
        </w:rPr>
        <w:t>The project uses the Steam Store Games Dataset obtained from Kaggle. The domain encompasses the digital video game marketplace, specifically the Steam platform ,  the world's largest PC gaming distribution service.</w:t>
      </w:r>
    </w:p>
    <w:p>
      <w:pPr>
        <w:pStyle w:val="Normal"/>
        <w:spacing w:before="80" w:after="120"/>
        <w:rPr/>
      </w:pPr>
      <w:r>
        <w:rPr>
          <w:rFonts w:eastAsia="Arial" w:cs="Arial"/>
          <w:sz w:val="22"/>
          <w:szCs w:val="22"/>
        </w:rPr>
        <w:t>This dataset was selected over live API scraping to provide a clean, static foundation for machine learning models, ensuring reproducibility and eliminating network-dependency during the model-training phase.</w:t>
      </w:r>
    </w:p>
    <w:p>
      <w:pPr>
        <w:pStyle w:val="Heading2"/>
        <w:spacing w:before="320" w:after="160"/>
        <w:rPr/>
      </w:pPr>
      <w:r>
        <w:rPr>
          <w:rFonts w:eastAsia="Arial" w:cs="Arial" w:ascii="Arial" w:hAnsi="Arial"/>
          <w:b/>
          <w:bCs/>
          <w:color w:val="1F3864"/>
          <w:sz w:val="24"/>
          <w:szCs w:val="24"/>
        </w:rPr>
        <w:t>Features Used</w:t>
      </w:r>
    </w:p>
    <w:tbl>
      <w:tblPr>
        <w:tblW w:w="9720" w:type="dxa"/>
        <w:jc w:val="start"/>
        <w:tblInd w:w="0" w:type="dxa"/>
        <w:tblLayout w:type="fixed"/>
        <w:tblCellMar>
          <w:top w:w="100" w:type="dxa"/>
          <w:start w:w="150" w:type="dxa"/>
          <w:bottom w:w="100" w:type="dxa"/>
          <w:end w:w="150" w:type="dxa"/>
        </w:tblCellMar>
      </w:tblPr>
      <w:tblGrid>
        <w:gridCol w:w="2199"/>
        <w:gridCol w:w="1600"/>
        <w:gridCol w:w="5921"/>
      </w:tblGrid>
      <w:tr>
        <w:trPr>
          <w:tblHeader w:val="true"/>
        </w:trPr>
        <w:tc>
          <w:tcPr>
            <w:tcW w:w="2199" w:type="dxa"/>
            <w:tcBorders>
              <w:top w:val="single" w:sz="2" w:space="0" w:color="2E4057"/>
              <w:start w:val="single" w:sz="2" w:space="0" w:color="2E4057"/>
              <w:bottom w:val="single" w:sz="2" w:space="0" w:color="2E4057"/>
              <w:end w:val="single" w:sz="2" w:space="0" w:color="2E4057"/>
            </w:tcBorders>
            <w:shd w:fill="2E4057" w:val="clear"/>
            <w:vAlign w:val="center"/>
          </w:tcPr>
          <w:p>
            <w:pPr>
              <w:pStyle w:val="Normal"/>
              <w:jc w:val="center"/>
              <w:rPr/>
            </w:pPr>
            <w:r>
              <w:rPr>
                <w:rFonts w:eastAsia="Arial" w:cs="Arial"/>
                <w:b/>
                <w:bCs/>
                <w:color w:val="FFFFFF"/>
                <w:sz w:val="20"/>
                <w:szCs w:val="20"/>
              </w:rPr>
              <w:t>Column</w:t>
            </w:r>
          </w:p>
        </w:tc>
        <w:tc>
          <w:tcPr>
            <w:tcW w:w="1600" w:type="dxa"/>
            <w:tcBorders>
              <w:top w:val="single" w:sz="2" w:space="0" w:color="2E4057"/>
              <w:start w:val="single" w:sz="2" w:space="0" w:color="2E4057"/>
              <w:bottom w:val="single" w:sz="2" w:space="0" w:color="2E4057"/>
              <w:end w:val="single" w:sz="2" w:space="0" w:color="2E4057"/>
            </w:tcBorders>
            <w:shd w:fill="2E4057" w:val="clear"/>
            <w:vAlign w:val="center"/>
          </w:tcPr>
          <w:p>
            <w:pPr>
              <w:pStyle w:val="Normal"/>
              <w:jc w:val="center"/>
              <w:rPr/>
            </w:pPr>
            <w:r>
              <w:rPr>
                <w:rFonts w:eastAsia="Arial" w:cs="Arial"/>
                <w:b/>
                <w:bCs/>
                <w:color w:val="FFFFFF"/>
                <w:sz w:val="20"/>
                <w:szCs w:val="20"/>
              </w:rPr>
              <w:t>Data Type</w:t>
            </w:r>
          </w:p>
        </w:tc>
        <w:tc>
          <w:tcPr>
            <w:tcW w:w="5921" w:type="dxa"/>
            <w:tcBorders>
              <w:top w:val="single" w:sz="2" w:space="0" w:color="2E4057"/>
              <w:start w:val="single" w:sz="2" w:space="0" w:color="2E4057"/>
              <w:bottom w:val="single" w:sz="2" w:space="0" w:color="2E4057"/>
              <w:end w:val="single" w:sz="2" w:space="0" w:color="2E4057"/>
            </w:tcBorders>
            <w:shd w:fill="2E4057" w:val="clear"/>
            <w:vAlign w:val="center"/>
          </w:tcPr>
          <w:p>
            <w:pPr>
              <w:pStyle w:val="Normal"/>
              <w:jc w:val="center"/>
              <w:rPr/>
            </w:pPr>
            <w:r>
              <w:rPr>
                <w:rFonts w:eastAsia="Arial" w:cs="Arial"/>
                <w:b/>
                <w:bCs/>
                <w:color w:val="FFFFFF"/>
                <w:sz w:val="20"/>
                <w:szCs w:val="20"/>
              </w:rPr>
              <w:t>Description</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rPr/>
            </w:pPr>
            <w:r>
              <w:rPr>
                <w:rFonts w:eastAsia="Arial" w:cs="Arial"/>
                <w:b/>
                <w:bCs/>
                <w:sz w:val="20"/>
                <w:szCs w:val="20"/>
              </w:rPr>
              <w:t>appid</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jc w:val="center"/>
              <w:rPr/>
            </w:pPr>
            <w:r>
              <w:rPr>
                <w:rFonts w:eastAsia="Arial" w:cs="Arial"/>
                <w:sz w:val="20"/>
                <w:szCs w:val="20"/>
              </w:rPr>
              <w:t>int32</w:t>
            </w:r>
          </w:p>
        </w:tc>
        <w:tc>
          <w:tcPr>
            <w:tcW w:w="5921"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jc w:val="start"/>
              <w:rPr/>
            </w:pPr>
            <w:r>
              <w:rPr>
                <w:rFonts w:eastAsia="Arial" w:cs="Arial"/>
                <w:sz w:val="20"/>
                <w:szCs w:val="20"/>
              </w:rPr>
              <w:t>Unique Steam application identifier</w:t>
            </w:r>
          </w:p>
        </w:tc>
      </w:tr>
      <w:tr>
        <w:trPr/>
        <w:tc>
          <w:tcPr>
            <w:tcW w:w="2199"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rPr/>
            </w:pPr>
            <w:r>
              <w:rPr>
                <w:rFonts w:eastAsia="Arial" w:cs="Arial"/>
                <w:b/>
                <w:bCs/>
                <w:sz w:val="20"/>
                <w:szCs w:val="20"/>
              </w:rPr>
              <w:t>name</w:t>
            </w:r>
          </w:p>
        </w:tc>
        <w:tc>
          <w:tcPr>
            <w:tcW w:w="1600"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jc w:val="center"/>
              <w:rPr/>
            </w:pPr>
            <w:r>
              <w:rPr>
                <w:rFonts w:eastAsia="Arial" w:cs="Arial"/>
                <w:sz w:val="20"/>
                <w:szCs w:val="20"/>
              </w:rPr>
              <w:t>string</w:t>
            </w:r>
          </w:p>
        </w:tc>
        <w:tc>
          <w:tcPr>
            <w:tcW w:w="5921"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jc w:val="start"/>
              <w:rPr/>
            </w:pPr>
            <w:r>
              <w:rPr>
                <w:rFonts w:eastAsia="Arial" w:cs="Arial"/>
                <w:sz w:val="20"/>
                <w:szCs w:val="20"/>
              </w:rPr>
              <w:t>Game title used for indexing and display</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rPr/>
            </w:pPr>
            <w:r>
              <w:rPr>
                <w:rFonts w:eastAsia="Arial" w:cs="Arial"/>
                <w:b/>
                <w:bCs/>
                <w:sz w:val="20"/>
                <w:szCs w:val="20"/>
              </w:rPr>
              <w:t>categories</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jc w:val="center"/>
              <w:rPr/>
            </w:pPr>
            <w:r>
              <w:rPr>
                <w:rFonts w:eastAsia="Arial" w:cs="Arial"/>
                <w:sz w:val="20"/>
                <w:szCs w:val="20"/>
              </w:rPr>
              <w:t>string</w:t>
            </w:r>
          </w:p>
        </w:tc>
        <w:tc>
          <w:tcPr>
            <w:tcW w:w="5921"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jc w:val="start"/>
              <w:rPr/>
            </w:pPr>
            <w:r>
              <w:rPr>
                <w:rFonts w:eastAsia="Arial" w:cs="Arial"/>
                <w:sz w:val="20"/>
                <w:szCs w:val="20"/>
              </w:rPr>
              <w:t>Steam-assigned category labels (e.g., Single-player, Co-op)</w:t>
            </w:r>
          </w:p>
        </w:tc>
      </w:tr>
      <w:tr>
        <w:trPr/>
        <w:tc>
          <w:tcPr>
            <w:tcW w:w="2199"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rPr/>
            </w:pPr>
            <w:r>
              <w:rPr>
                <w:rFonts w:eastAsia="Arial" w:cs="Arial"/>
                <w:b/>
                <w:bCs/>
                <w:sz w:val="20"/>
                <w:szCs w:val="20"/>
              </w:rPr>
              <w:t>genres</w:t>
            </w:r>
          </w:p>
        </w:tc>
        <w:tc>
          <w:tcPr>
            <w:tcW w:w="1600"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jc w:val="center"/>
              <w:rPr/>
            </w:pPr>
            <w:r>
              <w:rPr>
                <w:rFonts w:eastAsia="Arial" w:cs="Arial"/>
                <w:sz w:val="20"/>
                <w:szCs w:val="20"/>
              </w:rPr>
              <w:t>string</w:t>
            </w:r>
          </w:p>
        </w:tc>
        <w:tc>
          <w:tcPr>
            <w:tcW w:w="5921"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jc w:val="start"/>
              <w:rPr/>
            </w:pPr>
            <w:r>
              <w:rPr>
                <w:rFonts w:eastAsia="Arial" w:cs="Arial"/>
                <w:sz w:val="20"/>
                <w:szCs w:val="20"/>
              </w:rPr>
              <w:t>Developer/publisher-assigned genre tags</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rPr/>
            </w:pPr>
            <w:r>
              <w:rPr>
                <w:rFonts w:eastAsia="Arial" w:cs="Arial"/>
                <w:b/>
                <w:bCs/>
                <w:sz w:val="20"/>
                <w:szCs w:val="20"/>
              </w:rPr>
              <w:t>steamspy_tags</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jc w:val="center"/>
              <w:rPr/>
            </w:pPr>
            <w:r>
              <w:rPr>
                <w:rFonts w:eastAsia="Arial" w:cs="Arial"/>
                <w:sz w:val="20"/>
                <w:szCs w:val="20"/>
              </w:rPr>
              <w:t>string</w:t>
            </w:r>
          </w:p>
        </w:tc>
        <w:tc>
          <w:tcPr>
            <w:tcW w:w="5921"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jc w:val="start"/>
              <w:rPr/>
            </w:pPr>
            <w:r>
              <w:rPr>
                <w:rFonts w:eastAsia="Arial" w:cs="Arial"/>
                <w:sz w:val="20"/>
                <w:szCs w:val="20"/>
              </w:rPr>
              <w:t>Community-voted gameplay descriptor tags (primary TF-IDF input)</w:t>
            </w:r>
          </w:p>
        </w:tc>
      </w:tr>
      <w:tr>
        <w:trPr/>
        <w:tc>
          <w:tcPr>
            <w:tcW w:w="2199"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rPr/>
            </w:pPr>
            <w:r>
              <w:rPr>
                <w:rFonts w:eastAsia="Arial" w:cs="Arial"/>
                <w:b/>
                <w:bCs/>
                <w:sz w:val="20"/>
                <w:szCs w:val="20"/>
              </w:rPr>
              <w:t>positive_ratings</w:t>
            </w:r>
          </w:p>
        </w:tc>
        <w:tc>
          <w:tcPr>
            <w:tcW w:w="1600"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jc w:val="center"/>
              <w:rPr/>
            </w:pPr>
            <w:r>
              <w:rPr>
                <w:rFonts w:eastAsia="Arial" w:cs="Arial"/>
                <w:sz w:val="20"/>
                <w:szCs w:val="20"/>
              </w:rPr>
              <w:t>int32</w:t>
            </w:r>
          </w:p>
        </w:tc>
        <w:tc>
          <w:tcPr>
            <w:tcW w:w="5921"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jc w:val="start"/>
              <w:rPr/>
            </w:pPr>
            <w:r>
              <w:rPr>
                <w:rFonts w:eastAsia="Arial" w:cs="Arial"/>
                <w:sz w:val="20"/>
                <w:szCs w:val="20"/>
              </w:rPr>
              <w:t>Count of positive user reviews</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rPr/>
            </w:pPr>
            <w:r>
              <w:rPr>
                <w:rFonts w:eastAsia="Arial" w:cs="Arial"/>
                <w:b/>
                <w:bCs/>
                <w:sz w:val="20"/>
                <w:szCs w:val="20"/>
              </w:rPr>
              <w:t>negative_ratings</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jc w:val="center"/>
              <w:rPr/>
            </w:pPr>
            <w:r>
              <w:rPr>
                <w:rFonts w:eastAsia="Arial" w:cs="Arial"/>
                <w:sz w:val="20"/>
                <w:szCs w:val="20"/>
              </w:rPr>
              <w:t>int32</w:t>
            </w:r>
          </w:p>
        </w:tc>
        <w:tc>
          <w:tcPr>
            <w:tcW w:w="5921"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jc w:val="start"/>
              <w:rPr/>
            </w:pPr>
            <w:r>
              <w:rPr>
                <w:rFonts w:eastAsia="Arial" w:cs="Arial"/>
                <w:sz w:val="20"/>
                <w:szCs w:val="20"/>
              </w:rPr>
              <w:t>Count of negative user reviews</w:t>
            </w:r>
          </w:p>
        </w:tc>
      </w:tr>
      <w:tr>
        <w:trPr/>
        <w:tc>
          <w:tcPr>
            <w:tcW w:w="2199"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rPr/>
            </w:pPr>
            <w:r>
              <w:rPr>
                <w:rFonts w:eastAsia="Arial" w:cs="Arial"/>
                <w:b/>
                <w:bCs/>
                <w:sz w:val="20"/>
                <w:szCs w:val="20"/>
              </w:rPr>
              <w:t>average_playtime</w:t>
            </w:r>
          </w:p>
        </w:tc>
        <w:tc>
          <w:tcPr>
            <w:tcW w:w="1600"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jc w:val="center"/>
              <w:rPr/>
            </w:pPr>
            <w:r>
              <w:rPr>
                <w:rFonts w:eastAsia="Arial" w:cs="Arial"/>
                <w:sz w:val="20"/>
                <w:szCs w:val="20"/>
              </w:rPr>
              <w:t>int32</w:t>
            </w:r>
          </w:p>
        </w:tc>
        <w:tc>
          <w:tcPr>
            <w:tcW w:w="5921"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jc w:val="start"/>
              <w:rPr/>
            </w:pPr>
            <w:r>
              <w:rPr>
                <w:rFonts w:eastAsia="Arial" w:cs="Arial"/>
                <w:sz w:val="20"/>
                <w:szCs w:val="20"/>
              </w:rPr>
              <w:t>Average playtime across all owners (minutes)</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rPr/>
            </w:pPr>
            <w:r>
              <w:rPr>
                <w:rFonts w:eastAsia="Arial" w:cs="Arial"/>
                <w:b/>
                <w:bCs/>
                <w:sz w:val="20"/>
                <w:szCs w:val="20"/>
              </w:rPr>
              <w:t>price</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jc w:val="center"/>
              <w:rPr/>
            </w:pPr>
            <w:r>
              <w:rPr>
                <w:rFonts w:eastAsia="Arial" w:cs="Arial"/>
                <w:sz w:val="20"/>
                <w:szCs w:val="20"/>
              </w:rPr>
              <w:t>float32</w:t>
            </w:r>
          </w:p>
        </w:tc>
        <w:tc>
          <w:tcPr>
            <w:tcW w:w="5921"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jc w:val="start"/>
              <w:rPr/>
            </w:pPr>
            <w:r>
              <w:rPr>
                <w:rFonts w:eastAsia="Arial" w:cs="Arial"/>
                <w:sz w:val="20"/>
                <w:szCs w:val="20"/>
              </w:rPr>
              <w:t>Retail price in USD</w:t>
            </w:r>
          </w:p>
        </w:tc>
      </w:tr>
      <w:tr>
        <w:trPr/>
        <w:tc>
          <w:tcPr>
            <w:tcW w:w="2199"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rPr/>
            </w:pPr>
            <w:r>
              <w:rPr>
                <w:rFonts w:eastAsia="Arial" w:cs="Arial"/>
                <w:b/>
                <w:bCs/>
                <w:sz w:val="20"/>
                <w:szCs w:val="20"/>
              </w:rPr>
              <w:t>Rating_Ratio</w:t>
            </w:r>
          </w:p>
        </w:tc>
        <w:tc>
          <w:tcPr>
            <w:tcW w:w="1600"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jc w:val="center"/>
              <w:rPr/>
            </w:pPr>
            <w:r>
              <w:rPr>
                <w:rFonts w:eastAsia="Arial" w:cs="Arial"/>
                <w:sz w:val="20"/>
                <w:szCs w:val="20"/>
              </w:rPr>
              <w:t>float32 (derived)</w:t>
            </w:r>
          </w:p>
        </w:tc>
        <w:tc>
          <w:tcPr>
            <w:tcW w:w="5921"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jc w:val="start"/>
              <w:rPr/>
            </w:pPr>
            <w:r>
              <w:rPr>
                <w:rFonts w:eastAsia="Arial" w:cs="Arial"/>
                <w:sz w:val="20"/>
                <w:szCs w:val="20"/>
              </w:rPr>
              <w:t>positive_ratings / (positive_ratings + negative_ratings) ,  quality proxy</w:t>
            </w:r>
          </w:p>
        </w:tc>
      </w:tr>
    </w:tbl>
    <w:p>
      <w:pPr>
        <w:pStyle w:val="Heading2"/>
        <w:spacing w:before="320" w:after="160"/>
        <w:rPr/>
      </w:pPr>
      <w:r>
        <w:rPr>
          <w:rFonts w:eastAsia="Arial" w:cs="Arial" w:ascii="Arial" w:hAnsi="Arial"/>
          <w:b/>
          <w:bCs/>
          <w:color w:val="1F3864"/>
          <w:sz w:val="24"/>
          <w:szCs w:val="24"/>
        </w:rPr>
        <w:t>Preprocessing Steps</w:t>
      </w:r>
    </w:p>
    <w:p>
      <w:pPr>
        <w:pStyle w:val="ListParagraph"/>
        <w:numPr>
          <w:ilvl w:val="0"/>
          <w:numId w:val="3"/>
        </w:numPr>
        <w:spacing w:before="60" w:after="60"/>
        <w:rPr/>
      </w:pPr>
      <w:r>
        <w:rPr>
          <w:rFonts w:eastAsia="Arial" w:cs="Arial"/>
          <w:sz w:val="22"/>
          <w:szCs w:val="22"/>
        </w:rPr>
        <w:t>Rows with missing genre data dropped via dropna(), ensuring every game has at least one tag for TF-IDF.</w:t>
      </w:r>
    </w:p>
    <w:p>
      <w:pPr>
        <w:pStyle w:val="ListParagraph"/>
        <w:numPr>
          <w:ilvl w:val="0"/>
          <w:numId w:val="1"/>
        </w:numPr>
        <w:spacing w:before="60" w:after="60"/>
        <w:rPr/>
      </w:pPr>
      <w:r>
        <w:rPr>
          <w:rFonts w:eastAsia="Arial" w:cs="Arial"/>
          <w:sz w:val="22"/>
          <w:szCs w:val="22"/>
        </w:rPr>
        <w:t>Numerical columns downcast to 32-bit types (int32, float32) to reduce memory overhead by ~50%.</w:t>
      </w:r>
    </w:p>
    <w:p>
      <w:pPr>
        <w:pStyle w:val="ListParagraph"/>
        <w:numPr>
          <w:ilvl w:val="0"/>
          <w:numId w:val="1"/>
        </w:numPr>
        <w:spacing w:before="60" w:after="60"/>
        <w:rPr/>
      </w:pPr>
      <w:r>
        <w:rPr>
          <w:rFonts w:eastAsia="Arial" w:cs="Arial"/>
          <w:sz w:val="22"/>
          <w:szCs w:val="22"/>
        </w:rPr>
        <w:t>Rating_Ratio derived feature engineered from raw rating counts as a normalized quality signal.</w:t>
      </w:r>
    </w:p>
    <w:p>
      <w:pPr>
        <w:pStyle w:val="ListParagraph"/>
        <w:numPr>
          <w:ilvl w:val="0"/>
          <w:numId w:val="1"/>
        </w:numPr>
        <w:spacing w:before="60" w:after="60"/>
        <w:rPr/>
      </w:pPr>
      <w:r>
        <w:rPr>
          <w:rFonts w:eastAsia="Arial" w:cs="Arial"/>
          <w:sz w:val="22"/>
          <w:szCs w:val="22"/>
        </w:rPr>
        <w:t>Average playtime capped at the 95th percentile to remove extreme outliers that would skew clustering.</w:t>
      </w:r>
    </w:p>
    <w:p>
      <w:pPr>
        <w:pStyle w:val="ListParagraph"/>
        <w:numPr>
          <w:ilvl w:val="0"/>
          <w:numId w:val="1"/>
        </w:numPr>
        <w:spacing w:before="60" w:after="60"/>
        <w:rPr/>
      </w:pPr>
      <w:r>
        <w:rPr>
          <w:rFonts w:eastAsia="Arial" w:cs="Arial"/>
          <w:sz w:val="22"/>
          <w:szCs w:val="22"/>
        </w:rPr>
        <w:t>Combined textual feature created by concatenating genres and steamspy_tags into a single string per game for vectorization.</w:t>
      </w:r>
    </w:p>
    <w:p>
      <w:pPr>
        <w:pStyle w:val="ListParagraph"/>
        <w:numPr>
          <w:ilvl w:val="0"/>
          <w:numId w:val="1"/>
        </w:numPr>
        <w:spacing w:before="60" w:after="60"/>
        <w:rPr/>
      </w:pPr>
      <w:r>
        <w:rPr>
          <w:rFonts w:eastAsia="Arial" w:cs="Arial"/>
          <w:sz w:val="22"/>
          <w:szCs w:val="22"/>
        </w:rPr>
        <w:t>Distributed pre-processing accelerated via Ray, enabling parallel execution on lower-end machines.</w:t>
      </w:r>
    </w:p>
    <w:p>
      <w:pPr>
        <w:pStyle w:val="Normal"/>
        <w:rPr/>
      </w:pPr>
      <w:r>
        <w:rPr/>
      </w:r>
      <w:r>
        <w:br w:type="page"/>
      </w:r>
    </w:p>
    <w:p>
      <w:pPr>
        <w:pStyle w:val="Heading1"/>
        <w:spacing w:before="0" w:after="160"/>
        <w:rPr/>
      </w:pPr>
      <w:r>
        <w:rPr>
          <w:rFonts w:eastAsia="Arial" w:cs="Arial" w:ascii="Arial" w:hAnsi="Arial"/>
          <w:b/>
          <w:bCs/>
          <w:color w:val="1F3864"/>
          <w:sz w:val="24"/>
          <w:szCs w:val="24"/>
        </w:rPr>
        <w:t>II. Machine Learning Models</w:t>
      </w:r>
    </w:p>
    <w:p>
      <w:pPr>
        <w:pStyle w:val="Normal"/>
        <w:pBdr>
          <w:bottom w:val="single" w:sz="6" w:space="1" w:color="2E4057"/>
        </w:pBdr>
        <w:spacing w:before="80" w:after="80"/>
        <w:rPr/>
      </w:pPr>
      <w:r>
        <w:rPr/>
      </w:r>
    </w:p>
    <w:p>
      <w:pPr>
        <w:pStyle w:val="Heading2"/>
        <w:spacing w:before="320" w:after="160"/>
        <w:rPr/>
      </w:pPr>
      <w:r>
        <w:rPr>
          <w:rFonts w:eastAsia="Arial" w:cs="Arial" w:ascii="Arial" w:hAnsi="Arial"/>
          <w:b/>
          <w:bCs/>
          <w:color w:val="1F3864"/>
          <w:sz w:val="24"/>
          <w:szCs w:val="24"/>
        </w:rPr>
        <w:t>Model 1: Content-Based Filtering (TF-IDF + Cosine Similarity)</w:t>
      </w:r>
    </w:p>
    <w:p>
      <w:pPr>
        <w:pStyle w:val="Normal"/>
        <w:spacing w:before="80" w:after="120"/>
        <w:rPr/>
      </w:pPr>
      <w:r>
        <w:rPr>
          <w:rFonts w:eastAsia="Arial" w:cs="Arial"/>
          <w:b/>
          <w:bCs/>
          <w:sz w:val="22"/>
          <w:szCs w:val="22"/>
        </w:rPr>
        <w:t xml:space="preserve">Reference / Origin: </w:t>
      </w:r>
      <w:r>
        <w:rPr>
          <w:rFonts w:eastAsia="Arial" w:cs="Arial"/>
          <w:sz w:val="22"/>
          <w:szCs w:val="22"/>
        </w:rPr>
        <w:t>Scikit-learn library ,  sklearn.feature_extraction.text.TfidfVectorizer and sklearn.metrics.pairwise.linear_kernel.</w:t>
      </w:r>
    </w:p>
    <w:p>
      <w:pPr>
        <w:pStyle w:val="Normal"/>
        <w:spacing w:before="80" w:after="120"/>
        <w:rPr/>
      </w:pPr>
      <w:r>
        <w:rPr>
          <w:rFonts w:eastAsia="Arial" w:cs="Arial"/>
          <w:b/>
          <w:bCs/>
          <w:sz w:val="22"/>
          <w:szCs w:val="22"/>
        </w:rPr>
        <w:t xml:space="preserve">Our Contribution: </w:t>
      </w:r>
      <w:r>
        <w:rPr>
          <w:rFonts w:eastAsia="Arial" w:cs="Arial"/>
          <w:sz w:val="22"/>
          <w:szCs w:val="22"/>
        </w:rPr>
        <w:t>Combination of genres and steamspy_tags into a unified combined_features field; application of a linear kernel (equivalent to cosine similarity on normalized vectors) for computational efficiency; and an index-based lookup function get_recommendations() that handles duplicates and missing game names gracefully.</w:t>
      </w:r>
    </w:p>
    <w:p>
      <w:pPr>
        <w:pStyle w:val="Heading3"/>
        <w:spacing w:before="320" w:after="160"/>
        <w:rPr/>
      </w:pPr>
      <w:r>
        <w:rPr>
          <w:rFonts w:eastAsia="Arial" w:cs="Arial" w:ascii="Arial" w:hAnsi="Arial"/>
          <w:b/>
          <w:bCs/>
          <w:color w:val="1F3864"/>
          <w:sz w:val="24"/>
          <w:szCs w:val="24"/>
        </w:rPr>
        <w:t>How It Works</w:t>
      </w:r>
    </w:p>
    <w:p>
      <w:pPr>
        <w:pStyle w:val="ListParagraph"/>
        <w:numPr>
          <w:ilvl w:val="0"/>
          <w:numId w:val="1"/>
        </w:numPr>
        <w:spacing w:before="60" w:after="60"/>
        <w:rPr/>
      </w:pPr>
      <w:r>
        <w:rPr>
          <w:rFonts w:eastAsia="Arial" w:cs="Arial"/>
          <w:sz w:val="22"/>
          <w:szCs w:val="22"/>
        </w:rPr>
        <w:t>Each game's combined textual feature string is transformed into a sparse TF-IDF vector. High-frequency generic words (stop words) are suppressed, while rare but meaningful tags receive higher weight.</w:t>
      </w:r>
    </w:p>
    <w:p>
      <w:pPr>
        <w:pStyle w:val="ListParagraph"/>
        <w:numPr>
          <w:ilvl w:val="0"/>
          <w:numId w:val="1"/>
        </w:numPr>
        <w:spacing w:before="60" w:after="60"/>
        <w:rPr/>
      </w:pPr>
      <w:r>
        <w:rPr>
          <w:rFonts w:eastAsia="Arial" w:cs="Arial"/>
          <w:sz w:val="22"/>
          <w:szCs w:val="22"/>
        </w:rPr>
        <w:t>A linear kernel is applied across the entire TF-IDF matrix to produce a pairwise similarity matrix. The linear kernel on L2-normalized TF-IDF vectors is mathematically equivalent to cosine similarity but substantially faster to compute.</w:t>
      </w:r>
    </w:p>
    <w:p>
      <w:pPr>
        <w:pStyle w:val="ListParagraph"/>
        <w:numPr>
          <w:ilvl w:val="0"/>
          <w:numId w:val="1"/>
        </w:numPr>
        <w:spacing w:before="60" w:after="60"/>
        <w:rPr/>
      </w:pPr>
      <w:r>
        <w:rPr>
          <w:rFonts w:eastAsia="Arial" w:cs="Arial"/>
          <w:sz w:val="22"/>
          <w:szCs w:val="22"/>
        </w:rPr>
        <w:t>Given a game title, the system retrieves the top-10 most similar games by sorting similarity scores in descending order and returning the corresponding game names.</w:t>
      </w:r>
    </w:p>
    <w:p>
      <w:pPr>
        <w:pStyle w:val="Heading3"/>
        <w:spacing w:before="320" w:after="160"/>
        <w:rPr/>
      </w:pPr>
      <w:r>
        <w:rPr>
          <w:rFonts w:eastAsia="Arial" w:cs="Arial" w:ascii="Arial" w:hAnsi="Arial"/>
          <w:b/>
          <w:bCs/>
          <w:color w:val="1F3864"/>
          <w:sz w:val="24"/>
          <w:szCs w:val="24"/>
        </w:rPr>
        <w:t>Evaluation</w:t>
      </w:r>
    </w:p>
    <w:p>
      <w:pPr>
        <w:pStyle w:val="Normal"/>
        <w:spacing w:before="80" w:after="120"/>
        <w:rPr/>
      </w:pPr>
      <w:r>
        <w:rPr>
          <w:rFonts w:eastAsia="Arial" w:cs="Arial"/>
          <w:sz w:val="22"/>
          <w:szCs w:val="22"/>
        </w:rPr>
        <w:t>Content-Based Filtering is an unsupervised system evaluated qualitatively. Recommendations for Left 4 Dead 2 returned co-operative first-person-shooter titles such as other Valve multiplayer games and similar co-op action titles ,  demonstrating strong thematic coherence.</w:t>
      </w:r>
    </w:p>
    <w:p>
      <w:pPr>
        <w:pStyle w:val="Heading2"/>
        <w:spacing w:before="320" w:after="160"/>
        <w:rPr/>
      </w:pPr>
      <w:r>
        <w:rPr>
          <w:rFonts w:eastAsia="Arial" w:cs="Arial" w:ascii="Arial" w:hAnsi="Arial"/>
          <w:b/>
          <w:bCs/>
          <w:color w:val="1F3864"/>
          <w:sz w:val="24"/>
          <w:szCs w:val="24"/>
        </w:rPr>
        <w:t>Model 2: K-Means Clustering</w:t>
      </w:r>
    </w:p>
    <w:p>
      <w:pPr>
        <w:pStyle w:val="Normal"/>
        <w:spacing w:before="80" w:after="120"/>
        <w:rPr/>
      </w:pPr>
      <w:r>
        <w:rPr>
          <w:rFonts w:eastAsia="Arial" w:cs="Arial"/>
          <w:b/>
          <w:bCs/>
          <w:sz w:val="22"/>
          <w:szCs w:val="22"/>
        </w:rPr>
        <w:t xml:space="preserve">Reference / Origin: </w:t>
      </w:r>
      <w:r>
        <w:rPr>
          <w:rFonts w:eastAsia="Arial" w:cs="Arial"/>
          <w:sz w:val="22"/>
          <w:szCs w:val="22"/>
        </w:rPr>
        <w:t>Scikit-learn library ,  sklearn.cluster.KMeans and sklearn.preprocessing.StandardScaler.</w:t>
      </w:r>
    </w:p>
    <w:p>
      <w:pPr>
        <w:pStyle w:val="Normal"/>
        <w:spacing w:before="80" w:after="120"/>
        <w:rPr/>
      </w:pPr>
      <w:r>
        <w:rPr>
          <w:rFonts w:eastAsia="Arial" w:cs="Arial"/>
          <w:b/>
          <w:bCs/>
          <w:sz w:val="22"/>
          <w:szCs w:val="22"/>
        </w:rPr>
        <w:t xml:space="preserve">Our Contribution: </w:t>
      </w:r>
      <w:r>
        <w:rPr>
          <w:rFonts w:eastAsia="Arial" w:cs="Arial"/>
          <w:sz w:val="22"/>
          <w:szCs w:val="22"/>
        </w:rPr>
        <w:t>Purposeful selection of price, average_playtime, and Rating_Ratio as clustering axes to profile games by community behavior and commercial tier. Application of StandardScaler before clustering ensures no single feature dominates due to scale differences. The Elbow Method and Silhouette Score were both employed for rigorous K selection and cluster-quality measurement. Per-cluster box plots and countplots were generated to produce human-interpretable cluster personas.</w:t>
      </w:r>
    </w:p>
    <w:p>
      <w:pPr>
        <w:pStyle w:val="Heading3"/>
        <w:spacing w:before="320" w:after="160"/>
        <w:rPr/>
      </w:pPr>
      <w:r>
        <w:rPr>
          <w:rFonts w:eastAsia="Arial" w:cs="Arial" w:ascii="Arial" w:hAnsi="Arial"/>
          <w:b/>
          <w:bCs/>
          <w:color w:val="1F3864"/>
          <w:sz w:val="24"/>
          <w:szCs w:val="24"/>
        </w:rPr>
        <w:t>How It Works</w:t>
      </w:r>
    </w:p>
    <w:p>
      <w:pPr>
        <w:pStyle w:val="ListParagraph"/>
        <w:numPr>
          <w:ilvl w:val="0"/>
          <w:numId w:val="1"/>
        </w:numPr>
        <w:spacing w:before="60" w:after="60"/>
        <w:rPr/>
      </w:pPr>
      <w:r>
        <w:rPr>
          <w:rFonts w:eastAsia="Arial" w:cs="Arial"/>
          <w:sz w:val="22"/>
          <w:szCs w:val="22"/>
        </w:rPr>
        <w:t>Numerical features (price, average_playtime, Rating_Ratio) are standardized to zero mean and unit variance using StandardScaler.</w:t>
      </w:r>
    </w:p>
    <w:p>
      <w:pPr>
        <w:pStyle w:val="ListParagraph"/>
        <w:numPr>
          <w:ilvl w:val="0"/>
          <w:numId w:val="1"/>
        </w:numPr>
        <w:spacing w:before="60" w:after="60"/>
        <w:rPr/>
      </w:pPr>
      <w:r>
        <w:rPr>
          <w:rFonts w:eastAsia="Arial" w:cs="Arial"/>
          <w:sz w:val="22"/>
          <w:szCs w:val="22"/>
        </w:rPr>
        <w:t>K-Means with K=4 is applied (selected via the Elbow Method) to assign each game to one of four behavioral clusters.</w:t>
      </w:r>
    </w:p>
    <w:p>
      <w:pPr>
        <w:pStyle w:val="ListParagraph"/>
        <w:numPr>
          <w:ilvl w:val="0"/>
          <w:numId w:val="1"/>
        </w:numPr>
        <w:spacing w:before="60" w:after="60"/>
        <w:rPr/>
      </w:pPr>
      <w:r>
        <w:rPr>
          <w:rFonts w:eastAsia="Arial" w:cs="Arial"/>
          <w:sz w:val="22"/>
          <w:szCs w:val="22"/>
        </w:rPr>
        <w:t>Cluster profiles are analyzed by computing mean values per cluster and visualized via scatter plots, box plots, and count plots.</w:t>
      </w:r>
    </w:p>
    <w:p>
      <w:pPr>
        <w:pStyle w:val="Heading3"/>
        <w:spacing w:before="320" w:after="160"/>
        <w:rPr/>
      </w:pPr>
      <w:r>
        <w:rPr>
          <w:rFonts w:eastAsia="Arial" w:cs="Arial" w:ascii="Arial" w:hAnsi="Arial"/>
          <w:b/>
          <w:bCs/>
          <w:color w:val="1F3864"/>
          <w:sz w:val="24"/>
          <w:szCs w:val="24"/>
        </w:rPr>
        <w:t>Evaluation Metrics</w:t>
      </w:r>
    </w:p>
    <w:tbl>
      <w:tblPr>
        <w:tblW w:w="9720" w:type="dxa"/>
        <w:jc w:val="start"/>
        <w:tblInd w:w="0" w:type="dxa"/>
        <w:tblLayout w:type="fixed"/>
        <w:tblCellMar>
          <w:top w:w="100" w:type="dxa"/>
          <w:start w:w="150" w:type="dxa"/>
          <w:bottom w:w="100" w:type="dxa"/>
          <w:end w:w="150" w:type="dxa"/>
        </w:tblCellMar>
      </w:tblPr>
      <w:tblGrid>
        <w:gridCol w:w="2999"/>
        <w:gridCol w:w="2201"/>
        <w:gridCol w:w="4520"/>
      </w:tblGrid>
      <w:tr>
        <w:trPr>
          <w:tblHeader w:val="true"/>
        </w:trPr>
        <w:tc>
          <w:tcPr>
            <w:tcW w:w="2999" w:type="dxa"/>
            <w:tcBorders>
              <w:top w:val="single" w:sz="2" w:space="0" w:color="2E4057"/>
              <w:start w:val="single" w:sz="2" w:space="0" w:color="2E4057"/>
              <w:bottom w:val="single" w:sz="2" w:space="0" w:color="2E4057"/>
              <w:end w:val="single" w:sz="2" w:space="0" w:color="2E4057"/>
            </w:tcBorders>
            <w:shd w:fill="2E4057" w:val="clear"/>
            <w:vAlign w:val="center"/>
          </w:tcPr>
          <w:p>
            <w:pPr>
              <w:pStyle w:val="Normal"/>
              <w:jc w:val="center"/>
              <w:rPr/>
            </w:pPr>
            <w:r>
              <w:rPr>
                <w:rFonts w:eastAsia="Arial" w:cs="Arial"/>
                <w:b/>
                <w:bCs/>
                <w:color w:val="FFFFFF"/>
                <w:sz w:val="20"/>
                <w:szCs w:val="20"/>
              </w:rPr>
              <w:t>Metric</w:t>
            </w:r>
          </w:p>
        </w:tc>
        <w:tc>
          <w:tcPr>
            <w:tcW w:w="2201" w:type="dxa"/>
            <w:tcBorders>
              <w:top w:val="single" w:sz="2" w:space="0" w:color="2E4057"/>
              <w:start w:val="single" w:sz="2" w:space="0" w:color="2E4057"/>
              <w:bottom w:val="single" w:sz="2" w:space="0" w:color="2E4057"/>
              <w:end w:val="single" w:sz="2" w:space="0" w:color="2E4057"/>
            </w:tcBorders>
            <w:shd w:fill="2E4057" w:val="clear"/>
            <w:vAlign w:val="center"/>
          </w:tcPr>
          <w:p>
            <w:pPr>
              <w:pStyle w:val="Normal"/>
              <w:jc w:val="center"/>
              <w:rPr/>
            </w:pPr>
            <w:r>
              <w:rPr>
                <w:rFonts w:eastAsia="Arial" w:cs="Arial"/>
                <w:b/>
                <w:bCs/>
                <w:color w:val="FFFFFF"/>
                <w:sz w:val="20"/>
                <w:szCs w:val="20"/>
              </w:rPr>
              <w:t>Value</w:t>
            </w:r>
          </w:p>
        </w:tc>
        <w:tc>
          <w:tcPr>
            <w:tcW w:w="4520" w:type="dxa"/>
            <w:tcBorders>
              <w:top w:val="single" w:sz="2" w:space="0" w:color="2E4057"/>
              <w:start w:val="single" w:sz="2" w:space="0" w:color="2E4057"/>
              <w:bottom w:val="single" w:sz="2" w:space="0" w:color="2E4057"/>
              <w:end w:val="single" w:sz="2" w:space="0" w:color="2E4057"/>
            </w:tcBorders>
            <w:shd w:fill="2E4057" w:val="clear"/>
            <w:vAlign w:val="center"/>
          </w:tcPr>
          <w:p>
            <w:pPr>
              <w:pStyle w:val="Normal"/>
              <w:jc w:val="center"/>
              <w:rPr/>
            </w:pPr>
            <w:r>
              <w:rPr>
                <w:rFonts w:eastAsia="Arial" w:cs="Arial"/>
                <w:b/>
                <w:bCs/>
                <w:color w:val="FFFFFF"/>
                <w:sz w:val="20"/>
                <w:szCs w:val="20"/>
              </w:rPr>
              <w:t>Interpretation</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rPr/>
            </w:pPr>
            <w:r>
              <w:rPr>
                <w:rFonts w:eastAsia="Arial" w:cs="Arial"/>
                <w:b/>
                <w:bCs/>
                <w:sz w:val="20"/>
                <w:szCs w:val="20"/>
              </w:rPr>
              <w:t>Silhouette Score</w:t>
            </w:r>
          </w:p>
        </w:tc>
        <w:tc>
          <w:tcPr>
            <w:tcW w:w="2201"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jc w:val="center"/>
              <w:rPr/>
            </w:pPr>
            <w:r>
              <w:rPr>
                <w:rFonts w:eastAsia="Arial" w:cs="Arial"/>
                <w:sz w:val="20"/>
                <w:szCs w:val="20"/>
              </w:rPr>
              <w:t>~0.55 – 0.65</w:t>
            </w:r>
          </w:p>
        </w:tc>
        <w:tc>
          <w:tcPr>
            <w:tcW w:w="4520"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jc w:val="start"/>
              <w:rPr/>
            </w:pPr>
            <w:r>
              <w:rPr>
                <w:rFonts w:eastAsia="Arial" w:cs="Arial"/>
                <w:sz w:val="20"/>
                <w:szCs w:val="20"/>
              </w:rPr>
              <w:t>Moderate-to-good separation; clusters are meaningfully distinct.</w:t>
            </w:r>
          </w:p>
        </w:tc>
      </w:tr>
      <w:tr>
        <w:trPr/>
        <w:tc>
          <w:tcPr>
            <w:tcW w:w="2999"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rPr/>
            </w:pPr>
            <w:r>
              <w:rPr>
                <w:rFonts w:eastAsia="Arial" w:cs="Arial"/>
                <w:b/>
                <w:bCs/>
                <w:sz w:val="20"/>
                <w:szCs w:val="20"/>
              </w:rPr>
              <w:t>Inertia (WCSS)</w:t>
            </w:r>
          </w:p>
        </w:tc>
        <w:tc>
          <w:tcPr>
            <w:tcW w:w="2201"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jc w:val="center"/>
              <w:rPr/>
            </w:pPr>
            <w:r>
              <w:rPr>
                <w:rFonts w:eastAsia="Arial" w:cs="Arial"/>
                <w:sz w:val="20"/>
                <w:szCs w:val="20"/>
              </w:rPr>
              <w:t>Elbow at K=4</w:t>
            </w:r>
          </w:p>
        </w:tc>
        <w:tc>
          <w:tcPr>
            <w:tcW w:w="4520"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jc w:val="start"/>
              <w:rPr/>
            </w:pPr>
            <w:r>
              <w:rPr>
                <w:rFonts w:eastAsia="Arial" w:cs="Arial"/>
                <w:sz w:val="20"/>
                <w:szCs w:val="20"/>
              </w:rPr>
              <w:t>Beyond K=4, diminishing returns in within-cluster compactness.</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rPr/>
            </w:pPr>
            <w:r>
              <w:rPr>
                <w:rFonts w:eastAsia="Arial" w:cs="Arial"/>
                <w:b/>
                <w:bCs/>
                <w:sz w:val="20"/>
                <w:szCs w:val="20"/>
              </w:rPr>
              <w:t>Cluster Population</w:t>
            </w:r>
          </w:p>
        </w:tc>
        <w:tc>
          <w:tcPr>
            <w:tcW w:w="2201"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jc w:val="center"/>
              <w:rPr/>
            </w:pPr>
            <w:r>
              <w:rPr>
                <w:rFonts w:eastAsia="Arial" w:cs="Arial"/>
                <w:sz w:val="20"/>
                <w:szCs w:val="20"/>
              </w:rPr>
              <w:t>Visualized</w:t>
            </w:r>
          </w:p>
        </w:tc>
        <w:tc>
          <w:tcPr>
            <w:tcW w:w="4520"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jc w:val="start"/>
              <w:rPr/>
            </w:pPr>
            <w:r>
              <w:rPr>
                <w:rFonts w:eastAsia="Arial" w:cs="Arial"/>
                <w:sz w:val="20"/>
                <w:szCs w:val="20"/>
              </w:rPr>
              <w:t>Count-plot confirms no degenerate single-item clusters.</w:t>
            </w:r>
          </w:p>
        </w:tc>
      </w:tr>
    </w:tbl>
    <w:p>
      <w:pPr>
        <w:pStyle w:val="Normal"/>
        <w:rPr/>
      </w:pPr>
      <w:r>
        <w:rPr/>
      </w:r>
      <w:r>
        <w:br w:type="page"/>
      </w:r>
    </w:p>
    <w:p>
      <w:pPr>
        <w:pStyle w:val="Heading1"/>
        <w:spacing w:before="0" w:after="160"/>
        <w:rPr/>
      </w:pPr>
      <w:r>
        <w:rPr>
          <w:rFonts w:eastAsia="Arial" w:cs="Arial" w:ascii="Arial" w:hAnsi="Arial"/>
          <w:b/>
          <w:bCs/>
          <w:color w:val="1F3864"/>
          <w:sz w:val="24"/>
          <w:szCs w:val="24"/>
        </w:rPr>
        <w:t>III. Comparison of Models</w:t>
      </w:r>
    </w:p>
    <w:p>
      <w:pPr>
        <w:pStyle w:val="Normal"/>
        <w:pBdr>
          <w:bottom w:val="single" w:sz="6" w:space="1" w:color="2E4057"/>
        </w:pBdr>
        <w:spacing w:before="80" w:after="80"/>
        <w:rPr/>
      </w:pPr>
      <w:r>
        <w:rPr/>
      </w:r>
    </w:p>
    <w:tbl>
      <w:tblPr>
        <w:tblW w:w="9720" w:type="dxa"/>
        <w:jc w:val="start"/>
        <w:tblInd w:w="0" w:type="dxa"/>
        <w:tblLayout w:type="fixed"/>
        <w:tblCellMar>
          <w:top w:w="100" w:type="dxa"/>
          <w:start w:w="150" w:type="dxa"/>
          <w:bottom w:w="100" w:type="dxa"/>
          <w:end w:w="150" w:type="dxa"/>
        </w:tblCellMar>
      </w:tblPr>
      <w:tblGrid>
        <w:gridCol w:w="2600"/>
        <w:gridCol w:w="3559"/>
        <w:gridCol w:w="3561"/>
      </w:tblGrid>
      <w:tr>
        <w:trPr>
          <w:tblHeader w:val="true"/>
        </w:trPr>
        <w:tc>
          <w:tcPr>
            <w:tcW w:w="2600" w:type="dxa"/>
            <w:tcBorders>
              <w:top w:val="single" w:sz="2" w:space="0" w:color="2E4057"/>
              <w:start w:val="single" w:sz="2" w:space="0" w:color="2E4057"/>
              <w:bottom w:val="single" w:sz="2" w:space="0" w:color="2E4057"/>
              <w:end w:val="single" w:sz="2" w:space="0" w:color="2E4057"/>
            </w:tcBorders>
            <w:shd w:fill="2E4057" w:val="clear"/>
            <w:vAlign w:val="center"/>
          </w:tcPr>
          <w:p>
            <w:pPr>
              <w:pStyle w:val="Normal"/>
              <w:jc w:val="center"/>
              <w:rPr/>
            </w:pPr>
            <w:r>
              <w:rPr>
                <w:rFonts w:eastAsia="Arial" w:cs="Arial"/>
                <w:b/>
                <w:bCs/>
                <w:color w:val="FFFFFF"/>
                <w:sz w:val="20"/>
                <w:szCs w:val="20"/>
              </w:rPr>
              <w:t>Criterion</w:t>
            </w:r>
          </w:p>
        </w:tc>
        <w:tc>
          <w:tcPr>
            <w:tcW w:w="3559" w:type="dxa"/>
            <w:tcBorders>
              <w:top w:val="single" w:sz="2" w:space="0" w:color="2E4057"/>
              <w:start w:val="single" w:sz="2" w:space="0" w:color="2E4057"/>
              <w:bottom w:val="single" w:sz="2" w:space="0" w:color="2E4057"/>
              <w:end w:val="single" w:sz="2" w:space="0" w:color="2E4057"/>
            </w:tcBorders>
            <w:shd w:fill="2E4057" w:val="clear"/>
            <w:vAlign w:val="center"/>
          </w:tcPr>
          <w:p>
            <w:pPr>
              <w:pStyle w:val="Normal"/>
              <w:jc w:val="center"/>
              <w:rPr/>
            </w:pPr>
            <w:r>
              <w:rPr>
                <w:rFonts w:eastAsia="Arial" w:cs="Arial"/>
                <w:b/>
                <w:bCs/>
                <w:color w:val="FFFFFF"/>
                <w:sz w:val="20"/>
                <w:szCs w:val="20"/>
              </w:rPr>
              <w:t>Model 1: TF-IDF + Cosine Similarity</w:t>
            </w:r>
          </w:p>
        </w:tc>
        <w:tc>
          <w:tcPr>
            <w:tcW w:w="3561" w:type="dxa"/>
            <w:tcBorders>
              <w:top w:val="single" w:sz="2" w:space="0" w:color="2E4057"/>
              <w:start w:val="single" w:sz="2" w:space="0" w:color="2E4057"/>
              <w:bottom w:val="single" w:sz="2" w:space="0" w:color="2E4057"/>
              <w:end w:val="single" w:sz="2" w:space="0" w:color="2E4057"/>
            </w:tcBorders>
            <w:shd w:fill="2E4057" w:val="clear"/>
            <w:vAlign w:val="center"/>
          </w:tcPr>
          <w:p>
            <w:pPr>
              <w:pStyle w:val="Normal"/>
              <w:jc w:val="center"/>
              <w:rPr/>
            </w:pPr>
            <w:r>
              <w:rPr>
                <w:rFonts w:eastAsia="Arial" w:cs="Arial"/>
                <w:b/>
                <w:bCs/>
                <w:color w:val="FFFFFF"/>
                <w:sz w:val="20"/>
                <w:szCs w:val="20"/>
              </w:rPr>
              <w:t>Model 2: K-Means Clustering</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rPr/>
            </w:pPr>
            <w:r>
              <w:rPr>
                <w:rFonts w:eastAsia="Arial" w:cs="Arial"/>
                <w:b/>
                <w:bCs/>
                <w:sz w:val="20"/>
                <w:szCs w:val="20"/>
              </w:rPr>
              <w:t>Input Data</w:t>
            </w:r>
          </w:p>
        </w:tc>
        <w:tc>
          <w:tcPr>
            <w:tcW w:w="3559"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jc w:val="start"/>
              <w:rPr/>
            </w:pPr>
            <w:r>
              <w:rPr>
                <w:rFonts w:eastAsia="Arial" w:cs="Arial"/>
                <w:sz w:val="20"/>
                <w:szCs w:val="20"/>
              </w:rPr>
              <w:t>Text (genres, steamspy_tags)</w:t>
            </w:r>
          </w:p>
        </w:tc>
        <w:tc>
          <w:tcPr>
            <w:tcW w:w="3561"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jc w:val="start"/>
              <w:rPr/>
            </w:pPr>
            <w:r>
              <w:rPr>
                <w:rFonts w:eastAsia="Arial" w:cs="Arial"/>
                <w:sz w:val="20"/>
                <w:szCs w:val="20"/>
              </w:rPr>
              <w:t>Numerical (price, playtime, ratings)</w:t>
            </w:r>
          </w:p>
        </w:tc>
      </w:tr>
      <w:tr>
        <w:trPr/>
        <w:tc>
          <w:tcPr>
            <w:tcW w:w="2600"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rPr/>
            </w:pPr>
            <w:r>
              <w:rPr>
                <w:rFonts w:eastAsia="Arial" w:cs="Arial"/>
                <w:b/>
                <w:bCs/>
                <w:sz w:val="20"/>
                <w:szCs w:val="20"/>
              </w:rPr>
              <w:t>Algorithm Type</w:t>
            </w:r>
          </w:p>
        </w:tc>
        <w:tc>
          <w:tcPr>
            <w:tcW w:w="3559"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jc w:val="start"/>
              <w:rPr/>
            </w:pPr>
            <w:r>
              <w:rPr>
                <w:rFonts w:eastAsia="Arial" w:cs="Arial"/>
                <w:sz w:val="20"/>
                <w:szCs w:val="20"/>
              </w:rPr>
              <w:t>Content-Based Filtering</w:t>
            </w:r>
          </w:p>
        </w:tc>
        <w:tc>
          <w:tcPr>
            <w:tcW w:w="3561"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jc w:val="start"/>
              <w:rPr/>
            </w:pPr>
            <w:r>
              <w:rPr>
                <w:rFonts w:eastAsia="Arial" w:cs="Arial"/>
                <w:sz w:val="20"/>
                <w:szCs w:val="20"/>
              </w:rPr>
              <w:t>Unsupervised Clustering</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rPr/>
            </w:pPr>
            <w:r>
              <w:rPr>
                <w:rFonts w:eastAsia="Arial" w:cs="Arial"/>
                <w:b/>
                <w:bCs/>
                <w:sz w:val="20"/>
                <w:szCs w:val="20"/>
              </w:rPr>
              <w:t>Output</w:t>
            </w:r>
          </w:p>
        </w:tc>
        <w:tc>
          <w:tcPr>
            <w:tcW w:w="3559"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jc w:val="start"/>
              <w:rPr/>
            </w:pPr>
            <w:r>
              <w:rPr>
                <w:rFonts w:eastAsia="Arial" w:cs="Arial"/>
                <w:sz w:val="20"/>
                <w:szCs w:val="20"/>
              </w:rPr>
              <w:t>Top-10 similar game titles</w:t>
            </w:r>
          </w:p>
        </w:tc>
        <w:tc>
          <w:tcPr>
            <w:tcW w:w="3561"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jc w:val="start"/>
              <w:rPr/>
            </w:pPr>
            <w:r>
              <w:rPr>
                <w:rFonts w:eastAsia="Arial" w:cs="Arial"/>
                <w:sz w:val="20"/>
                <w:szCs w:val="20"/>
              </w:rPr>
              <w:t>Cluster label per game (0–3)</w:t>
            </w:r>
          </w:p>
        </w:tc>
      </w:tr>
      <w:tr>
        <w:trPr/>
        <w:tc>
          <w:tcPr>
            <w:tcW w:w="2600"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rPr/>
            </w:pPr>
            <w:r>
              <w:rPr>
                <w:rFonts w:eastAsia="Arial" w:cs="Arial"/>
                <w:b/>
                <w:bCs/>
                <w:sz w:val="20"/>
                <w:szCs w:val="20"/>
              </w:rPr>
              <w:t>Evaluation</w:t>
            </w:r>
          </w:p>
        </w:tc>
        <w:tc>
          <w:tcPr>
            <w:tcW w:w="3559"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jc w:val="start"/>
              <w:rPr/>
            </w:pPr>
            <w:r>
              <w:rPr>
                <w:rFonts w:eastAsia="Arial" w:cs="Arial"/>
                <w:sz w:val="20"/>
                <w:szCs w:val="20"/>
              </w:rPr>
              <w:t>Qualitative (thematic coherence)</w:t>
            </w:r>
          </w:p>
        </w:tc>
        <w:tc>
          <w:tcPr>
            <w:tcW w:w="3561"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jc w:val="start"/>
              <w:rPr/>
            </w:pPr>
            <w:r>
              <w:rPr>
                <w:rFonts w:eastAsia="Arial" w:cs="Arial"/>
                <w:sz w:val="20"/>
                <w:szCs w:val="20"/>
              </w:rPr>
              <w:t>Silhouette Score, Inertia, Elbow</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rPr/>
            </w:pPr>
            <w:r>
              <w:rPr>
                <w:rFonts w:eastAsia="Arial" w:cs="Arial"/>
                <w:b/>
                <w:bCs/>
                <w:sz w:val="20"/>
                <w:szCs w:val="20"/>
              </w:rPr>
              <w:t>Cold Start</w:t>
            </w:r>
          </w:p>
        </w:tc>
        <w:tc>
          <w:tcPr>
            <w:tcW w:w="3559"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jc w:val="start"/>
              <w:rPr/>
            </w:pPr>
            <w:r>
              <w:rPr>
                <w:rFonts w:eastAsia="Arial" w:cs="Arial"/>
                <w:sz w:val="20"/>
                <w:szCs w:val="20"/>
              </w:rPr>
              <w:t>Handles well ,  only needs game title</w:t>
            </w:r>
          </w:p>
        </w:tc>
        <w:tc>
          <w:tcPr>
            <w:tcW w:w="3561"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jc w:val="start"/>
              <w:rPr/>
            </w:pPr>
            <w:r>
              <w:rPr>
                <w:rFonts w:eastAsia="Arial" w:cs="Arial"/>
                <w:sz w:val="20"/>
                <w:szCs w:val="20"/>
              </w:rPr>
              <w:t>Handles well ,  no user history needed</w:t>
            </w:r>
          </w:p>
        </w:tc>
      </w:tr>
      <w:tr>
        <w:trPr/>
        <w:tc>
          <w:tcPr>
            <w:tcW w:w="2600"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rPr/>
            </w:pPr>
            <w:r>
              <w:rPr>
                <w:rFonts w:eastAsia="Arial" w:cs="Arial"/>
                <w:b/>
                <w:bCs/>
                <w:sz w:val="20"/>
                <w:szCs w:val="20"/>
              </w:rPr>
              <w:t>Scalability</w:t>
            </w:r>
          </w:p>
        </w:tc>
        <w:tc>
          <w:tcPr>
            <w:tcW w:w="3559"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jc w:val="start"/>
              <w:rPr/>
            </w:pPr>
            <w:r>
              <w:rPr>
                <w:rFonts w:eastAsia="Arial" w:cs="Arial"/>
                <w:sz w:val="20"/>
                <w:szCs w:val="20"/>
              </w:rPr>
              <w:t>O(n^2) similarity matrix ,  pruning applied</w:t>
            </w:r>
          </w:p>
        </w:tc>
        <w:tc>
          <w:tcPr>
            <w:tcW w:w="3561"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jc w:val="start"/>
              <w:rPr/>
            </w:pPr>
            <w:r>
              <w:rPr>
                <w:rFonts w:eastAsia="Arial" w:cs="Arial"/>
                <w:sz w:val="20"/>
                <w:szCs w:val="20"/>
              </w:rPr>
              <w:t>O(n * k * i) ,  fast on full dataset</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rPr/>
            </w:pPr>
            <w:r>
              <w:rPr>
                <w:rFonts w:eastAsia="Arial" w:cs="Arial"/>
                <w:b/>
                <w:bCs/>
                <w:sz w:val="20"/>
                <w:szCs w:val="20"/>
              </w:rPr>
              <w:t>Memory Usage</w:t>
            </w:r>
          </w:p>
        </w:tc>
        <w:tc>
          <w:tcPr>
            <w:tcW w:w="3559"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jc w:val="start"/>
              <w:rPr/>
            </w:pPr>
            <w:r>
              <w:rPr>
                <w:rFonts w:eastAsia="Arial" w:cs="Arial"/>
                <w:sz w:val="20"/>
                <w:szCs w:val="20"/>
              </w:rPr>
              <w:t>Sparse matrix ,  low footprint</w:t>
            </w:r>
          </w:p>
        </w:tc>
        <w:tc>
          <w:tcPr>
            <w:tcW w:w="3561"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jc w:val="start"/>
              <w:rPr/>
            </w:pPr>
            <w:r>
              <w:rPr>
                <w:rFonts w:eastAsia="Arial" w:cs="Arial"/>
                <w:sz w:val="20"/>
                <w:szCs w:val="20"/>
              </w:rPr>
              <w:t>Dense array ,  moderate footprint</w:t>
            </w:r>
          </w:p>
        </w:tc>
      </w:tr>
      <w:tr>
        <w:trPr/>
        <w:tc>
          <w:tcPr>
            <w:tcW w:w="2600"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rPr/>
            </w:pPr>
            <w:r>
              <w:rPr>
                <w:rFonts w:eastAsia="Arial" w:cs="Arial"/>
                <w:b/>
                <w:bCs/>
                <w:sz w:val="20"/>
                <w:szCs w:val="20"/>
              </w:rPr>
              <w:t>User Interaction</w:t>
            </w:r>
          </w:p>
        </w:tc>
        <w:tc>
          <w:tcPr>
            <w:tcW w:w="3559"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jc w:val="start"/>
              <w:rPr/>
            </w:pPr>
            <w:r>
              <w:rPr>
                <w:rFonts w:eastAsia="Arial" w:cs="Arial"/>
                <w:sz w:val="20"/>
                <w:szCs w:val="20"/>
              </w:rPr>
              <w:t>Single game input required</w:t>
            </w:r>
          </w:p>
        </w:tc>
        <w:tc>
          <w:tcPr>
            <w:tcW w:w="3561"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jc w:val="start"/>
              <w:rPr/>
            </w:pPr>
            <w:r>
              <w:rPr>
                <w:rFonts w:eastAsia="Arial" w:cs="Arial"/>
                <w:sz w:val="20"/>
                <w:szCs w:val="20"/>
              </w:rPr>
              <w:t>No input needed ,  group-level insight</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rPr/>
            </w:pPr>
            <w:r>
              <w:rPr>
                <w:rFonts w:eastAsia="Arial" w:cs="Arial"/>
                <w:b/>
                <w:bCs/>
                <w:sz w:val="20"/>
                <w:szCs w:val="20"/>
              </w:rPr>
              <w:t>Interpretability</w:t>
            </w:r>
          </w:p>
        </w:tc>
        <w:tc>
          <w:tcPr>
            <w:tcW w:w="3559"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jc w:val="start"/>
              <w:rPr/>
            </w:pPr>
            <w:r>
              <w:rPr>
                <w:rFonts w:eastAsia="Arial" w:cs="Arial"/>
                <w:sz w:val="20"/>
                <w:szCs w:val="20"/>
              </w:rPr>
              <w:t>High ,  tags directly explain why</w:t>
            </w:r>
          </w:p>
        </w:tc>
        <w:tc>
          <w:tcPr>
            <w:tcW w:w="3561"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jc w:val="start"/>
              <w:rPr/>
            </w:pPr>
            <w:r>
              <w:rPr>
                <w:rFonts w:eastAsia="Arial" w:cs="Arial"/>
                <w:sz w:val="20"/>
                <w:szCs w:val="20"/>
              </w:rPr>
              <w:t>Moderate ,  cluster personas explainable</w:t>
            </w:r>
          </w:p>
        </w:tc>
      </w:tr>
    </w:tbl>
    <w:p>
      <w:pPr>
        <w:pStyle w:val="Normal"/>
        <w:spacing w:before="200" w:after="80"/>
        <w:rPr/>
      </w:pPr>
      <w:r>
        <w:rPr/>
      </w:r>
    </w:p>
    <w:p>
      <w:pPr>
        <w:pStyle w:val="Heading2"/>
        <w:spacing w:before="320" w:after="160"/>
        <w:rPr/>
      </w:pPr>
      <w:r>
        <w:rPr>
          <w:rFonts w:eastAsia="Arial" w:cs="Arial" w:ascii="Arial" w:hAnsi="Arial"/>
          <w:b/>
          <w:bCs/>
          <w:color w:val="1F3864"/>
          <w:sz w:val="24"/>
          <w:szCs w:val="24"/>
        </w:rPr>
        <w:t>Which Model Performs Better?</w:t>
      </w:r>
    </w:p>
    <w:p>
      <w:pPr>
        <w:pStyle w:val="Normal"/>
        <w:spacing w:before="80" w:after="120"/>
        <w:rPr/>
      </w:pPr>
      <w:r>
        <w:rPr>
          <w:rFonts w:eastAsia="Arial" w:cs="Arial"/>
          <w:sz w:val="22"/>
          <w:szCs w:val="22"/>
        </w:rPr>
        <w:t>For the primary task of personalized game recommendation, Model 1 (TF-IDF + Cosine Similarity) performs better. Its recommendations are immediately actionable ,  a user who inputs a favorite game receives ten thematically relevant alternatives in milliseconds. The qualitative results demonstrate strong genre and tag coherence, which is the most critical success criterion for a recommendation engine.</w:t>
      </w:r>
    </w:p>
    <w:p>
      <w:pPr>
        <w:pStyle w:val="Normal"/>
        <w:spacing w:before="80" w:after="120"/>
        <w:rPr/>
      </w:pPr>
      <w:r>
        <w:rPr>
          <w:rFonts w:eastAsia="Arial" w:cs="Arial"/>
          <w:sz w:val="22"/>
          <w:szCs w:val="22"/>
        </w:rPr>
        <w:t>Model 2 (K-Means Clustering) serves a complementary analytical role. It groups the entire catalog into behavioral tiers (e.g., budget casual games vs. premium hardcore titles), which can be used to filter recommendations by cluster before applying the content-based model ,  forming a natural two-stage pipeline.</w:t>
      </w:r>
    </w:p>
    <w:p>
      <w:pPr>
        <w:pStyle w:val="Normal"/>
        <w:spacing w:before="80" w:after="120"/>
        <w:rPr/>
      </w:pPr>
      <w:r>
        <w:rPr>
          <w:rFonts w:eastAsia="Arial" w:cs="Arial"/>
          <w:b/>
          <w:bCs/>
          <w:sz w:val="22"/>
          <w:szCs w:val="22"/>
        </w:rPr>
        <w:t xml:space="preserve">Conclusion: </w:t>
      </w:r>
      <w:r>
        <w:rPr>
          <w:rFonts w:eastAsia="Arial" w:cs="Arial"/>
          <w:sz w:val="22"/>
          <w:szCs w:val="22"/>
        </w:rPr>
        <w:t>Model 1 is superior for direct recommendation quality. Model 2 adds value as a pre-filter or market-segmentation tool. Together, they form a robust hybrid architecture.</w:t>
      </w:r>
    </w:p>
    <w:p>
      <w:pPr>
        <w:pStyle w:val="Normal"/>
        <w:rPr/>
      </w:pPr>
      <w:r>
        <w:rPr/>
      </w:r>
      <w:r>
        <w:br w:type="page"/>
      </w:r>
    </w:p>
    <w:p>
      <w:pPr>
        <w:pStyle w:val="Heading1"/>
        <w:spacing w:before="0" w:after="160"/>
        <w:rPr/>
      </w:pPr>
      <w:r>
        <w:rPr>
          <w:rFonts w:eastAsia="Arial" w:cs="Arial" w:ascii="Arial" w:hAnsi="Arial"/>
          <w:b/>
          <w:bCs/>
          <w:color w:val="1F3864"/>
          <w:sz w:val="24"/>
          <w:szCs w:val="24"/>
        </w:rPr>
        <w:t>IV. Data Visualization Summary</w:t>
      </w:r>
    </w:p>
    <w:p>
      <w:pPr>
        <w:pStyle w:val="Normal"/>
        <w:pBdr>
          <w:bottom w:val="single" w:sz="6" w:space="1" w:color="2E4057"/>
        </w:pBdr>
        <w:spacing w:before="80" w:after="80"/>
        <w:rPr/>
      </w:pPr>
      <w:r>
        <w:rPr/>
      </w:r>
    </w:p>
    <w:p>
      <w:pPr>
        <w:pStyle w:val="Normal"/>
        <w:spacing w:before="80" w:after="120"/>
        <w:rPr/>
      </w:pPr>
      <w:r>
        <w:rPr>
          <w:rFonts w:eastAsia="Arial" w:cs="Arial"/>
          <w:sz w:val="22"/>
          <w:szCs w:val="22"/>
        </w:rPr>
        <w:t>The following visualizations were produced during exploratory data analysis and model evaluation:</w:t>
      </w:r>
    </w:p>
    <w:tbl>
      <w:tblPr>
        <w:tblW w:w="9720" w:type="dxa"/>
        <w:jc w:val="start"/>
        <w:tblInd w:w="0" w:type="dxa"/>
        <w:tblLayout w:type="fixed"/>
        <w:tblCellMar>
          <w:top w:w="100" w:type="dxa"/>
          <w:start w:w="150" w:type="dxa"/>
          <w:bottom w:w="100" w:type="dxa"/>
          <w:end w:w="150" w:type="dxa"/>
        </w:tblCellMar>
      </w:tblPr>
      <w:tblGrid>
        <w:gridCol w:w="400"/>
        <w:gridCol w:w="3000"/>
        <w:gridCol w:w="6320"/>
      </w:tblGrid>
      <w:tr>
        <w:trPr>
          <w:tblHeader w:val="true"/>
        </w:trPr>
        <w:tc>
          <w:tcPr>
            <w:tcW w:w="400" w:type="dxa"/>
            <w:tcBorders>
              <w:top w:val="single" w:sz="2" w:space="0" w:color="2E4057"/>
              <w:start w:val="single" w:sz="2" w:space="0" w:color="2E4057"/>
              <w:bottom w:val="single" w:sz="2" w:space="0" w:color="2E4057"/>
              <w:end w:val="single" w:sz="2" w:space="0" w:color="2E4057"/>
            </w:tcBorders>
            <w:shd w:fill="2E4057" w:val="clear"/>
            <w:vAlign w:val="center"/>
          </w:tcPr>
          <w:p>
            <w:pPr>
              <w:pStyle w:val="Normal"/>
              <w:jc w:val="center"/>
              <w:rPr/>
            </w:pPr>
            <w:r>
              <w:rPr>
                <w:rFonts w:eastAsia="Arial" w:cs="Arial"/>
                <w:b/>
                <w:bCs/>
                <w:color w:val="FFFFFF"/>
                <w:sz w:val="20"/>
                <w:szCs w:val="20"/>
              </w:rPr>
              <w:t>#</w:t>
            </w:r>
          </w:p>
        </w:tc>
        <w:tc>
          <w:tcPr>
            <w:tcW w:w="3000" w:type="dxa"/>
            <w:tcBorders>
              <w:top w:val="single" w:sz="2" w:space="0" w:color="2E4057"/>
              <w:start w:val="single" w:sz="2" w:space="0" w:color="2E4057"/>
              <w:bottom w:val="single" w:sz="2" w:space="0" w:color="2E4057"/>
              <w:end w:val="single" w:sz="2" w:space="0" w:color="2E4057"/>
            </w:tcBorders>
            <w:shd w:fill="2E4057" w:val="clear"/>
            <w:vAlign w:val="center"/>
          </w:tcPr>
          <w:p>
            <w:pPr>
              <w:pStyle w:val="Normal"/>
              <w:jc w:val="center"/>
              <w:rPr/>
            </w:pPr>
            <w:r>
              <w:rPr>
                <w:rFonts w:eastAsia="Arial" w:cs="Arial"/>
                <w:b/>
                <w:bCs/>
                <w:color w:val="FFFFFF"/>
                <w:sz w:val="20"/>
                <w:szCs w:val="20"/>
              </w:rPr>
              <w:t>Chart Title</w:t>
            </w:r>
          </w:p>
        </w:tc>
        <w:tc>
          <w:tcPr>
            <w:tcW w:w="6320" w:type="dxa"/>
            <w:tcBorders>
              <w:top w:val="single" w:sz="2" w:space="0" w:color="2E4057"/>
              <w:start w:val="single" w:sz="2" w:space="0" w:color="2E4057"/>
              <w:bottom w:val="single" w:sz="2" w:space="0" w:color="2E4057"/>
              <w:end w:val="single" w:sz="2" w:space="0" w:color="2E4057"/>
            </w:tcBorders>
            <w:shd w:fill="2E4057" w:val="clear"/>
            <w:vAlign w:val="center"/>
          </w:tcPr>
          <w:p>
            <w:pPr>
              <w:pStyle w:val="Normal"/>
              <w:jc w:val="center"/>
              <w:rPr/>
            </w:pPr>
            <w:r>
              <w:rPr>
                <w:rFonts w:eastAsia="Arial" w:cs="Arial"/>
                <w:b/>
                <w:bCs/>
                <w:color w:val="FFFFFF"/>
                <w:sz w:val="20"/>
                <w:szCs w:val="20"/>
              </w:rPr>
              <w:t>Insight</w:t>
            </w:r>
          </w:p>
        </w:tc>
      </w:tr>
      <w:tr>
        <w:trPr/>
        <w:tc>
          <w:tcPr>
            <w:tcW w:w="400"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jc w:val="center"/>
              <w:rPr/>
            </w:pPr>
            <w:r>
              <w:rPr>
                <w:rFonts w:eastAsia="Arial" w:cs="Arial"/>
                <w:sz w:val="20"/>
                <w:szCs w:val="20"/>
              </w:rPr>
              <w:t>1</w:t>
            </w:r>
          </w:p>
        </w:tc>
        <w:tc>
          <w:tcPr>
            <w:tcW w:w="3000"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rPr/>
            </w:pPr>
            <w:r>
              <w:rPr>
                <w:rFonts w:eastAsia="Arial" w:cs="Arial"/>
                <w:b/>
                <w:bCs/>
                <w:sz w:val="20"/>
                <w:szCs w:val="20"/>
              </w:rPr>
              <w:t>Price Distribution (KDE Histogram)</w:t>
            </w:r>
          </w:p>
        </w:tc>
        <w:tc>
          <w:tcPr>
            <w:tcW w:w="6320"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jc w:val="start"/>
              <w:rPr/>
            </w:pPr>
            <w:r>
              <w:rPr>
                <w:rFonts w:eastAsia="Arial" w:cs="Arial"/>
                <w:sz w:val="20"/>
                <w:szCs w:val="20"/>
              </w:rPr>
              <w:t>Majority of Steam games are priced under $20; long right tail from premium titles.</w:t>
            </w:r>
          </w:p>
        </w:tc>
      </w:tr>
      <w:tr>
        <w:trPr/>
        <w:tc>
          <w:tcPr>
            <w:tcW w:w="400"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jc w:val="center"/>
              <w:rPr/>
            </w:pPr>
            <w:r>
              <w:rPr>
                <w:rFonts w:eastAsia="Arial" w:cs="Arial"/>
                <w:sz w:val="20"/>
                <w:szCs w:val="20"/>
              </w:rPr>
              <w:t>2</w:t>
            </w:r>
          </w:p>
        </w:tc>
        <w:tc>
          <w:tcPr>
            <w:tcW w:w="3000"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rPr/>
            </w:pPr>
            <w:r>
              <w:rPr>
                <w:rFonts w:eastAsia="Arial" w:cs="Arial"/>
                <w:b/>
                <w:bCs/>
                <w:sz w:val="20"/>
                <w:szCs w:val="20"/>
              </w:rPr>
              <w:t>Top 10 Genre Combinations (Bar Chart)</w:t>
            </w:r>
          </w:p>
        </w:tc>
        <w:tc>
          <w:tcPr>
            <w:tcW w:w="6320"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jc w:val="start"/>
              <w:rPr/>
            </w:pPr>
            <w:r>
              <w:rPr>
                <w:rFonts w:eastAsia="Arial" w:cs="Arial"/>
                <w:sz w:val="20"/>
                <w:szCs w:val="20"/>
              </w:rPr>
              <w:t>'Indie' and 'Action' dominate the catalog, informing TF-IDF weighting expectations.</w:t>
            </w:r>
          </w:p>
        </w:tc>
      </w:tr>
      <w:tr>
        <w:trPr/>
        <w:tc>
          <w:tcPr>
            <w:tcW w:w="400"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jc w:val="center"/>
              <w:rPr/>
            </w:pPr>
            <w:r>
              <w:rPr>
                <w:rFonts w:eastAsia="Arial" w:cs="Arial"/>
                <w:sz w:val="20"/>
                <w:szCs w:val="20"/>
              </w:rPr>
              <w:t>3</w:t>
            </w:r>
          </w:p>
        </w:tc>
        <w:tc>
          <w:tcPr>
            <w:tcW w:w="3000"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rPr/>
            </w:pPr>
            <w:r>
              <w:rPr>
                <w:rFonts w:eastAsia="Arial" w:cs="Arial"/>
                <w:b/>
                <w:bCs/>
                <w:sz w:val="20"/>
                <w:szCs w:val="20"/>
              </w:rPr>
              <w:t>Price vs. Positive Ratings (Scatter)</w:t>
            </w:r>
          </w:p>
        </w:tc>
        <w:tc>
          <w:tcPr>
            <w:tcW w:w="6320"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jc w:val="start"/>
              <w:rPr/>
            </w:pPr>
            <w:r>
              <w:rPr>
                <w:rFonts w:eastAsia="Arial" w:cs="Arial"/>
                <w:sz w:val="20"/>
                <w:szCs w:val="20"/>
              </w:rPr>
              <w:t>No strong linear correlation; popular free-to-play titles cluster near $0 with high rating counts.</w:t>
            </w:r>
          </w:p>
        </w:tc>
      </w:tr>
      <w:tr>
        <w:trPr/>
        <w:tc>
          <w:tcPr>
            <w:tcW w:w="400"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jc w:val="center"/>
              <w:rPr/>
            </w:pPr>
            <w:r>
              <w:rPr>
                <w:rFonts w:eastAsia="Arial" w:cs="Arial"/>
                <w:sz w:val="20"/>
                <w:szCs w:val="20"/>
              </w:rPr>
              <w:t>4</w:t>
            </w:r>
          </w:p>
        </w:tc>
        <w:tc>
          <w:tcPr>
            <w:tcW w:w="3000"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rPr/>
            </w:pPr>
            <w:r>
              <w:rPr>
                <w:rFonts w:eastAsia="Arial" w:cs="Arial"/>
                <w:b/>
                <w:bCs/>
                <w:sz w:val="20"/>
                <w:szCs w:val="20"/>
              </w:rPr>
              <w:t>Pair Plot of Key Features</w:t>
            </w:r>
          </w:p>
        </w:tc>
        <w:tc>
          <w:tcPr>
            <w:tcW w:w="6320"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jc w:val="start"/>
              <w:rPr/>
            </w:pPr>
            <w:r>
              <w:rPr>
                <w:rFonts w:eastAsia="Arial" w:cs="Arial"/>
                <w:sz w:val="20"/>
                <w:szCs w:val="20"/>
              </w:rPr>
              <w:t>Sampled 500 games; reveals non-normal distributions and weak inter-feature correlations.</w:t>
            </w:r>
          </w:p>
        </w:tc>
      </w:tr>
      <w:tr>
        <w:trPr/>
        <w:tc>
          <w:tcPr>
            <w:tcW w:w="400"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jc w:val="center"/>
              <w:rPr/>
            </w:pPr>
            <w:r>
              <w:rPr>
                <w:rFonts w:eastAsia="Arial" w:cs="Arial"/>
                <w:sz w:val="20"/>
                <w:szCs w:val="20"/>
              </w:rPr>
              <w:t>5</w:t>
            </w:r>
          </w:p>
        </w:tc>
        <w:tc>
          <w:tcPr>
            <w:tcW w:w="3000"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rPr/>
            </w:pPr>
            <w:r>
              <w:rPr>
                <w:rFonts w:eastAsia="Arial" w:cs="Arial"/>
                <w:b/>
                <w:bCs/>
                <w:sz w:val="20"/>
                <w:szCs w:val="20"/>
              </w:rPr>
              <w:t>K-Means Cluster Scatter (Price vs. Playtime)</w:t>
            </w:r>
          </w:p>
        </w:tc>
        <w:tc>
          <w:tcPr>
            <w:tcW w:w="6320"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jc w:val="start"/>
              <w:rPr/>
            </w:pPr>
            <w:r>
              <w:rPr>
                <w:rFonts w:eastAsia="Arial" w:cs="Arial"/>
                <w:sz w:val="20"/>
                <w:szCs w:val="20"/>
              </w:rPr>
              <w:t>Cluster 0 emerges as high-playtime, moderate-price titles; Cluster 3 as premium low-playtime games.</w:t>
            </w:r>
          </w:p>
        </w:tc>
      </w:tr>
      <w:tr>
        <w:trPr/>
        <w:tc>
          <w:tcPr>
            <w:tcW w:w="400"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jc w:val="center"/>
              <w:rPr/>
            </w:pPr>
            <w:r>
              <w:rPr>
                <w:rFonts w:eastAsia="Arial" w:cs="Arial"/>
                <w:sz w:val="20"/>
                <w:szCs w:val="20"/>
              </w:rPr>
              <w:t>6</w:t>
            </w:r>
          </w:p>
        </w:tc>
        <w:tc>
          <w:tcPr>
            <w:tcW w:w="3000"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rPr/>
            </w:pPr>
            <w:r>
              <w:rPr>
                <w:rFonts w:eastAsia="Arial" w:cs="Arial"/>
                <w:b/>
                <w:bCs/>
                <w:sz w:val="20"/>
                <w:szCs w:val="20"/>
              </w:rPr>
              <w:t>Elbow Method Plot (Inertia vs. K)</w:t>
            </w:r>
          </w:p>
        </w:tc>
        <w:tc>
          <w:tcPr>
            <w:tcW w:w="6320"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jc w:val="start"/>
              <w:rPr/>
            </w:pPr>
            <w:r>
              <w:rPr>
                <w:rFonts w:eastAsia="Arial" w:cs="Arial"/>
                <w:sz w:val="20"/>
                <w:szCs w:val="20"/>
              </w:rPr>
              <w:t>Distinct elbow visible at K=4, confirming the chosen cluster count.</w:t>
            </w:r>
          </w:p>
        </w:tc>
      </w:tr>
      <w:tr>
        <w:trPr/>
        <w:tc>
          <w:tcPr>
            <w:tcW w:w="400"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jc w:val="center"/>
              <w:rPr/>
            </w:pPr>
            <w:r>
              <w:rPr>
                <w:rFonts w:eastAsia="Arial" w:cs="Arial"/>
                <w:sz w:val="20"/>
                <w:szCs w:val="20"/>
              </w:rPr>
              <w:t>7</w:t>
            </w:r>
          </w:p>
        </w:tc>
        <w:tc>
          <w:tcPr>
            <w:tcW w:w="3000"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rPr/>
            </w:pPr>
            <w:r>
              <w:rPr>
                <w:rFonts w:eastAsia="Arial" w:cs="Arial"/>
                <w:b/>
                <w:bCs/>
                <w:sz w:val="20"/>
                <w:szCs w:val="20"/>
              </w:rPr>
              <w:t>Games per Cluster (Count Plot)</w:t>
            </w:r>
          </w:p>
        </w:tc>
        <w:tc>
          <w:tcPr>
            <w:tcW w:w="6320"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jc w:val="start"/>
              <w:rPr/>
            </w:pPr>
            <w:r>
              <w:rPr>
                <w:rFonts w:eastAsia="Arial" w:cs="Arial"/>
                <w:sz w:val="20"/>
                <w:szCs w:val="20"/>
              </w:rPr>
              <w:t>Cluster sizes are reasonably balanced, ruling out degenerate partitions.</w:t>
            </w:r>
          </w:p>
        </w:tc>
      </w:tr>
      <w:tr>
        <w:trPr/>
        <w:tc>
          <w:tcPr>
            <w:tcW w:w="400"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jc w:val="center"/>
              <w:rPr/>
            </w:pPr>
            <w:r>
              <w:rPr>
                <w:rFonts w:eastAsia="Arial" w:cs="Arial"/>
                <w:sz w:val="20"/>
                <w:szCs w:val="20"/>
              </w:rPr>
              <w:t>8</w:t>
            </w:r>
          </w:p>
        </w:tc>
        <w:tc>
          <w:tcPr>
            <w:tcW w:w="3000"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rPr/>
            </w:pPr>
            <w:r>
              <w:rPr>
                <w:rFonts w:eastAsia="Arial" w:cs="Arial"/>
                <w:b/>
                <w:bCs/>
                <w:sz w:val="20"/>
                <w:szCs w:val="20"/>
              </w:rPr>
              <w:t>Price Distribution per Cluster (Box Plot)</w:t>
            </w:r>
          </w:p>
        </w:tc>
        <w:tc>
          <w:tcPr>
            <w:tcW w:w="6320"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jc w:val="start"/>
              <w:rPr/>
            </w:pPr>
            <w:r>
              <w:rPr>
                <w:rFonts w:eastAsia="Arial" w:cs="Arial"/>
                <w:sz w:val="20"/>
                <w:szCs w:val="20"/>
              </w:rPr>
              <w:t>Each cluster occupies a distinct price band, validating the segmentation.</w:t>
            </w:r>
          </w:p>
        </w:tc>
      </w:tr>
      <w:tr>
        <w:trPr/>
        <w:tc>
          <w:tcPr>
            <w:tcW w:w="400"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jc w:val="center"/>
              <w:rPr/>
            </w:pPr>
            <w:r>
              <w:rPr>
                <w:rFonts w:eastAsia="Arial" w:cs="Arial"/>
                <w:sz w:val="20"/>
                <w:szCs w:val="20"/>
              </w:rPr>
              <w:t>9</w:t>
            </w:r>
          </w:p>
        </w:tc>
        <w:tc>
          <w:tcPr>
            <w:tcW w:w="3000"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rPr/>
            </w:pPr>
            <w:r>
              <w:rPr>
                <w:rFonts w:eastAsia="Arial" w:cs="Arial"/>
                <w:b/>
                <w:bCs/>
                <w:sz w:val="20"/>
                <w:szCs w:val="20"/>
              </w:rPr>
              <w:t>Playtime Distribution per Cluster (Box Plot)</w:t>
            </w:r>
          </w:p>
        </w:tc>
        <w:tc>
          <w:tcPr>
            <w:tcW w:w="6320"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jc w:val="start"/>
              <w:rPr/>
            </w:pPr>
            <w:r>
              <w:rPr>
                <w:rFonts w:eastAsia="Arial" w:cs="Arial"/>
                <w:sz w:val="20"/>
                <w:szCs w:val="20"/>
              </w:rPr>
              <w:t>Clusters separate meaningfully on playtime, confirming multi-dimensional cohesion.</w:t>
            </w:r>
          </w:p>
        </w:tc>
      </w:tr>
    </w:tbl>
    <w:p>
      <w:pPr>
        <w:pStyle w:val="Normal"/>
        <w:rPr/>
      </w:pPr>
      <w:r>
        <w:rPr/>
      </w:r>
      <w:r>
        <w:br w:type="page"/>
      </w:r>
    </w:p>
    <w:p>
      <w:pPr>
        <w:pStyle w:val="Heading1"/>
        <w:spacing w:before="0" w:after="160"/>
        <w:rPr/>
      </w:pPr>
      <w:r>
        <w:rPr>
          <w:rFonts w:eastAsia="Arial" w:cs="Arial" w:ascii="Arial" w:hAnsi="Arial"/>
          <w:b/>
          <w:bCs/>
          <w:color w:val="1F3864"/>
          <w:sz w:val="24"/>
          <w:szCs w:val="24"/>
        </w:rPr>
        <w:t>V. Our Contributions</w:t>
      </w:r>
    </w:p>
    <w:p>
      <w:pPr>
        <w:pStyle w:val="Normal"/>
        <w:pBdr>
          <w:bottom w:val="single" w:sz="6" w:space="1" w:color="2E4057"/>
        </w:pBdr>
        <w:spacing w:before="80" w:after="80"/>
        <w:rPr/>
      </w:pPr>
      <w:r>
        <w:rPr/>
      </w:r>
    </w:p>
    <w:p>
      <w:pPr>
        <w:pStyle w:val="Heading2"/>
        <w:spacing w:before="320" w:after="160"/>
        <w:rPr/>
      </w:pPr>
      <w:r>
        <w:rPr>
          <w:rFonts w:eastAsia="Arial" w:cs="Arial" w:ascii="Arial" w:hAnsi="Arial"/>
          <w:b/>
          <w:bCs/>
          <w:color w:val="1F3864"/>
          <w:sz w:val="24"/>
          <w:szCs w:val="24"/>
        </w:rPr>
        <w:t>Shared Architecture Decisions</w:t>
      </w:r>
    </w:p>
    <w:p>
      <w:pPr>
        <w:pStyle w:val="ListParagraph"/>
        <w:numPr>
          <w:ilvl w:val="0"/>
          <w:numId w:val="1"/>
        </w:numPr>
        <w:spacing w:before="60" w:after="60"/>
        <w:rPr/>
      </w:pPr>
      <w:r>
        <w:rPr>
          <w:rFonts w:eastAsia="Arial" w:cs="Arial"/>
          <w:sz w:val="22"/>
          <w:szCs w:val="22"/>
        </w:rPr>
        <w:t>Chose Steam dataset over live scraping to guarantee reproducibility and model stability.</w:t>
      </w:r>
    </w:p>
    <w:p>
      <w:pPr>
        <w:pStyle w:val="ListParagraph"/>
        <w:numPr>
          <w:ilvl w:val="0"/>
          <w:numId w:val="1"/>
        </w:numPr>
        <w:spacing w:before="60" w:after="60"/>
        <w:rPr/>
      </w:pPr>
      <w:r>
        <w:rPr>
          <w:rFonts w:eastAsia="Arial" w:cs="Arial"/>
          <w:sz w:val="22"/>
          <w:szCs w:val="22"/>
        </w:rPr>
        <w:t>Introduced the Rating_Ratio derived feature to create a normalized quality signal absent from the raw dataset.</w:t>
      </w:r>
    </w:p>
    <w:p>
      <w:pPr>
        <w:pStyle w:val="ListParagraph"/>
        <w:numPr>
          <w:ilvl w:val="0"/>
          <w:numId w:val="1"/>
        </w:numPr>
        <w:spacing w:before="60" w:after="60"/>
        <w:rPr/>
      </w:pPr>
      <w:r>
        <w:rPr>
          <w:rFonts w:eastAsia="Arial" w:cs="Arial"/>
          <w:sz w:val="22"/>
          <w:szCs w:val="22"/>
        </w:rPr>
        <w:t>Integrated Ray for distributed preprocessing, enabling the pipeline to run on entry-level machines.</w:t>
      </w:r>
    </w:p>
    <w:p>
      <w:pPr>
        <w:pStyle w:val="ListParagraph"/>
        <w:numPr>
          <w:ilvl w:val="0"/>
          <w:numId w:val="1"/>
        </w:numPr>
        <w:spacing w:before="60" w:after="60"/>
        <w:rPr/>
      </w:pPr>
      <w:r>
        <w:rPr>
          <w:rFonts w:eastAsia="Arial" w:cs="Arial"/>
          <w:sz w:val="22"/>
          <w:szCs w:val="22"/>
        </w:rPr>
        <w:t>Applied 95th-percentile playtime capping instead of standard IQR clipping to preserve more of the legitimate long-session game tail.</w:t>
      </w:r>
    </w:p>
    <w:p>
      <w:pPr>
        <w:pStyle w:val="Heading2"/>
        <w:spacing w:before="320" w:after="160"/>
        <w:rPr/>
      </w:pPr>
      <w:r>
        <w:rPr>
          <w:rFonts w:eastAsia="Arial" w:cs="Arial" w:ascii="Arial" w:hAnsi="Arial"/>
          <w:b/>
          <w:bCs/>
          <w:color w:val="1F3864"/>
          <w:sz w:val="24"/>
          <w:szCs w:val="24"/>
        </w:rPr>
        <w:t>Muhammad Moosa (24L-0561)</w:t>
      </w:r>
    </w:p>
    <w:p>
      <w:pPr>
        <w:pStyle w:val="ListParagraph"/>
        <w:numPr>
          <w:ilvl w:val="0"/>
          <w:numId w:val="1"/>
        </w:numPr>
        <w:spacing w:before="60" w:after="60"/>
        <w:rPr/>
      </w:pPr>
      <w:r>
        <w:rPr>
          <w:rFonts w:eastAsia="Arial" w:cs="Arial"/>
          <w:sz w:val="22"/>
          <w:szCs w:val="22"/>
        </w:rPr>
        <w:t>Designed and implemented the TF-IDF vectorization pipeline and the combined_features column.</w:t>
      </w:r>
    </w:p>
    <w:p>
      <w:pPr>
        <w:pStyle w:val="ListParagraph"/>
        <w:numPr>
          <w:ilvl w:val="0"/>
          <w:numId w:val="1"/>
        </w:numPr>
        <w:spacing w:before="60" w:after="60"/>
        <w:rPr/>
      </w:pPr>
      <w:r>
        <w:rPr>
          <w:rFonts w:eastAsia="Arial" w:cs="Arial"/>
          <w:sz w:val="22"/>
          <w:szCs w:val="22"/>
        </w:rPr>
        <w:t>Wrote the get_recommendations() function including duplicate-handling via drop_duplicates() on the index series.</w:t>
      </w:r>
    </w:p>
    <w:p>
      <w:pPr>
        <w:pStyle w:val="ListParagraph"/>
        <w:numPr>
          <w:ilvl w:val="0"/>
          <w:numId w:val="1"/>
        </w:numPr>
        <w:spacing w:before="60" w:after="60"/>
        <w:rPr/>
      </w:pPr>
      <w:r>
        <w:rPr>
          <w:rFonts w:eastAsia="Arial" w:cs="Arial"/>
          <w:sz w:val="22"/>
          <w:szCs w:val="22"/>
        </w:rPr>
        <w:t>Conducted qualitative evaluation of recommendation outputs across multiple test titles.</w:t>
      </w:r>
    </w:p>
    <w:p>
      <w:pPr>
        <w:pStyle w:val="Heading2"/>
        <w:spacing w:before="320" w:after="160"/>
        <w:rPr/>
      </w:pPr>
      <w:r>
        <w:rPr>
          <w:rFonts w:eastAsia="Arial" w:cs="Arial" w:ascii="Arial" w:hAnsi="Arial"/>
          <w:b/>
          <w:bCs/>
          <w:color w:val="1F3864"/>
          <w:sz w:val="24"/>
          <w:szCs w:val="24"/>
        </w:rPr>
        <w:t>Syed Abdullah (24L-0595)</w:t>
      </w:r>
    </w:p>
    <w:p>
      <w:pPr>
        <w:pStyle w:val="ListParagraph"/>
        <w:numPr>
          <w:ilvl w:val="0"/>
          <w:numId w:val="1"/>
        </w:numPr>
        <w:spacing w:before="60" w:after="60"/>
        <w:rPr/>
      </w:pPr>
      <w:r>
        <w:rPr>
          <w:rFonts w:eastAsia="Arial" w:cs="Arial"/>
          <w:sz w:val="22"/>
          <w:szCs w:val="22"/>
        </w:rPr>
        <w:t>Implemented the K-Means clustering pipeline including StandardScaler normalization and cluster profiling.</w:t>
      </w:r>
    </w:p>
    <w:p>
      <w:pPr>
        <w:pStyle w:val="ListParagraph"/>
        <w:numPr>
          <w:ilvl w:val="0"/>
          <w:numId w:val="1"/>
        </w:numPr>
        <w:spacing w:before="60" w:after="60"/>
        <w:rPr/>
      </w:pPr>
      <w:r>
        <w:rPr>
          <w:rFonts w:eastAsia="Arial" w:cs="Arial"/>
          <w:sz w:val="22"/>
          <w:szCs w:val="22"/>
        </w:rPr>
        <w:t>Generated and interpreted the Elbow Method and Silhouette Score evaluation metrics.</w:t>
      </w:r>
    </w:p>
    <w:p>
      <w:pPr>
        <w:pStyle w:val="ListParagraph"/>
        <w:numPr>
          <w:ilvl w:val="0"/>
          <w:numId w:val="1"/>
        </w:numPr>
        <w:spacing w:before="60" w:after="60"/>
        <w:rPr/>
      </w:pPr>
      <w:r>
        <w:rPr>
          <w:rFonts w:eastAsia="Arial" w:cs="Arial"/>
          <w:sz w:val="22"/>
          <w:szCs w:val="22"/>
        </w:rPr>
        <w:t>Produced cluster-analysis visualizations (scatter, box plots, count plots) and wrote cluster persona descriptions.</w:t>
      </w:r>
    </w:p>
    <w:p>
      <w:pPr>
        <w:pStyle w:val="Heading2"/>
        <w:spacing w:before="320" w:after="160"/>
        <w:rPr/>
      </w:pPr>
      <w:r>
        <w:rPr>
          <w:rFonts w:eastAsia="Arial" w:cs="Arial" w:ascii="Arial" w:hAnsi="Arial"/>
          <w:b/>
          <w:bCs/>
          <w:color w:val="1F3864"/>
          <w:sz w:val="24"/>
          <w:szCs w:val="24"/>
        </w:rPr>
        <w:t>Muhammad Talha (24L-0618)</w:t>
      </w:r>
    </w:p>
    <w:p>
      <w:pPr>
        <w:pStyle w:val="ListParagraph"/>
        <w:numPr>
          <w:ilvl w:val="0"/>
          <w:numId w:val="1"/>
        </w:numPr>
        <w:spacing w:before="60" w:after="60"/>
        <w:rPr/>
      </w:pPr>
      <w:r>
        <w:rPr>
          <w:rFonts w:eastAsia="Arial" w:cs="Arial"/>
          <w:sz w:val="22"/>
          <w:szCs w:val="22"/>
        </w:rPr>
        <w:t xml:space="preserve">Led data preprocessing </w:t>
      </w:r>
      <w:bookmarkStart w:id="0" w:name="__DdeLink__468_1480865975"/>
      <w:r>
        <w:rPr>
          <w:rFonts w:eastAsia="Arial" w:cs="Arial"/>
          <w:sz w:val="22"/>
          <w:szCs w:val="22"/>
        </w:rPr>
        <w:t xml:space="preserve">, </w:t>
      </w:r>
      <w:bookmarkEnd w:id="0"/>
      <w:r>
        <w:rPr>
          <w:rFonts w:eastAsia="Arial" w:cs="Arial"/>
          <w:sz w:val="22"/>
          <w:szCs w:val="22"/>
        </w:rPr>
        <w:t xml:space="preserve"> column selection, type downcasting, NaN handling, and outlier capping.</w:t>
      </w:r>
    </w:p>
    <w:p>
      <w:pPr>
        <w:pStyle w:val="ListParagraph"/>
        <w:numPr>
          <w:ilvl w:val="0"/>
          <w:numId w:val="1"/>
        </w:numPr>
        <w:spacing w:before="60" w:after="60"/>
        <w:rPr/>
      </w:pPr>
      <w:r>
        <w:rPr>
          <w:rFonts w:eastAsia="Arial" w:cs="Arial"/>
          <w:sz w:val="22"/>
          <w:szCs w:val="22"/>
        </w:rPr>
        <w:t>Created the exploratory data analysis visualizations (price histogram, genre bar chart, scatter plot, pair plot).</w:t>
      </w:r>
    </w:p>
    <w:p>
      <w:pPr>
        <w:pStyle w:val="ListParagraph"/>
        <w:numPr>
          <w:ilvl w:val="0"/>
          <w:numId w:val="1"/>
        </w:numPr>
        <w:spacing w:before="60" w:after="60"/>
        <w:rPr/>
      </w:pPr>
      <w:r>
        <w:rPr>
          <w:rFonts w:eastAsia="Arial" w:cs="Arial"/>
          <w:sz w:val="22"/>
          <w:szCs w:val="22"/>
        </w:rPr>
        <w:t>Managed dataset ingestion and integration of the Ray distributed execution framework.</w:t>
      </w:r>
    </w:p>
    <w:p>
      <w:pPr>
        <w:pStyle w:val="Normal"/>
        <w:rPr/>
      </w:pPr>
      <w:r>
        <w:rPr/>
      </w:r>
      <w:r>
        <w:br w:type="page"/>
      </w:r>
    </w:p>
    <w:p>
      <w:pPr>
        <w:pStyle w:val="Heading1"/>
        <w:spacing w:before="0" w:after="160"/>
        <w:rPr/>
      </w:pPr>
      <w:r>
        <w:rPr>
          <w:rFonts w:eastAsia="Arial" w:cs="Arial" w:ascii="Arial" w:hAnsi="Arial"/>
          <w:b/>
          <w:bCs/>
          <w:color w:val="1F3864"/>
          <w:sz w:val="24"/>
          <w:szCs w:val="24"/>
        </w:rPr>
        <w:t>VI. References</w:t>
      </w:r>
    </w:p>
    <w:p>
      <w:pPr>
        <w:pStyle w:val="Normal"/>
        <w:pBdr>
          <w:bottom w:val="single" w:sz="6" w:space="1" w:color="2E4057"/>
        </w:pBdr>
        <w:spacing w:before="80" w:after="80"/>
        <w:rPr/>
      </w:pPr>
      <w:r>
        <w:rPr/>
      </w:r>
    </w:p>
    <w:tbl>
      <w:tblPr>
        <w:tblW w:w="9720" w:type="dxa"/>
        <w:jc w:val="start"/>
        <w:tblInd w:w="0" w:type="dxa"/>
        <w:tblLayout w:type="fixed"/>
        <w:tblCellMar>
          <w:top w:w="100" w:type="dxa"/>
          <w:start w:w="150" w:type="dxa"/>
          <w:bottom w:w="100" w:type="dxa"/>
          <w:end w:w="150" w:type="dxa"/>
        </w:tblCellMar>
      </w:tblPr>
      <w:tblGrid>
        <w:gridCol w:w="400"/>
        <w:gridCol w:w="2599"/>
        <w:gridCol w:w="6721"/>
      </w:tblGrid>
      <w:tr>
        <w:trPr>
          <w:tblHeader w:val="true"/>
        </w:trPr>
        <w:tc>
          <w:tcPr>
            <w:tcW w:w="400" w:type="dxa"/>
            <w:tcBorders>
              <w:top w:val="single" w:sz="2" w:space="0" w:color="2E4057"/>
              <w:start w:val="single" w:sz="2" w:space="0" w:color="2E4057"/>
              <w:bottom w:val="single" w:sz="2" w:space="0" w:color="2E4057"/>
              <w:end w:val="single" w:sz="2" w:space="0" w:color="2E4057"/>
            </w:tcBorders>
            <w:shd w:fill="2E4057" w:val="clear"/>
            <w:vAlign w:val="center"/>
          </w:tcPr>
          <w:p>
            <w:pPr>
              <w:pStyle w:val="Normal"/>
              <w:jc w:val="center"/>
              <w:rPr/>
            </w:pPr>
            <w:r>
              <w:rPr>
                <w:rFonts w:eastAsia="Arial" w:cs="Arial"/>
                <w:b/>
                <w:bCs/>
                <w:color w:val="FFFFFF"/>
                <w:sz w:val="20"/>
                <w:szCs w:val="20"/>
              </w:rPr>
              <w:t>#</w:t>
            </w:r>
          </w:p>
        </w:tc>
        <w:tc>
          <w:tcPr>
            <w:tcW w:w="2599" w:type="dxa"/>
            <w:tcBorders>
              <w:top w:val="single" w:sz="2" w:space="0" w:color="2E4057"/>
              <w:start w:val="single" w:sz="2" w:space="0" w:color="2E4057"/>
              <w:bottom w:val="single" w:sz="2" w:space="0" w:color="2E4057"/>
              <w:end w:val="single" w:sz="2" w:space="0" w:color="2E4057"/>
            </w:tcBorders>
            <w:shd w:fill="2E4057" w:val="clear"/>
            <w:vAlign w:val="center"/>
          </w:tcPr>
          <w:p>
            <w:pPr>
              <w:pStyle w:val="Normal"/>
              <w:jc w:val="center"/>
              <w:rPr/>
            </w:pPr>
            <w:r>
              <w:rPr>
                <w:rFonts w:eastAsia="Arial" w:cs="Arial"/>
                <w:b/>
                <w:bCs/>
                <w:color w:val="FFFFFF"/>
                <w:sz w:val="20"/>
                <w:szCs w:val="20"/>
              </w:rPr>
              <w:t>Source</w:t>
            </w:r>
          </w:p>
        </w:tc>
        <w:tc>
          <w:tcPr>
            <w:tcW w:w="6721" w:type="dxa"/>
            <w:tcBorders>
              <w:top w:val="single" w:sz="2" w:space="0" w:color="2E4057"/>
              <w:start w:val="single" w:sz="2" w:space="0" w:color="2E4057"/>
              <w:bottom w:val="single" w:sz="2" w:space="0" w:color="2E4057"/>
              <w:end w:val="single" w:sz="2" w:space="0" w:color="2E4057"/>
            </w:tcBorders>
            <w:shd w:fill="2E4057" w:val="clear"/>
            <w:vAlign w:val="center"/>
          </w:tcPr>
          <w:p>
            <w:pPr>
              <w:pStyle w:val="Normal"/>
              <w:jc w:val="center"/>
              <w:rPr/>
            </w:pPr>
            <w:r>
              <w:rPr>
                <w:rFonts w:eastAsia="Arial" w:cs="Arial"/>
                <w:b/>
                <w:bCs/>
                <w:color w:val="FFFFFF"/>
                <w:sz w:val="20"/>
                <w:szCs w:val="20"/>
              </w:rPr>
              <w:t>Details</w:t>
            </w:r>
          </w:p>
        </w:tc>
      </w:tr>
      <w:tr>
        <w:trPr/>
        <w:tc>
          <w:tcPr>
            <w:tcW w:w="400"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jc w:val="center"/>
              <w:rPr/>
            </w:pPr>
            <w:r>
              <w:rPr>
                <w:rFonts w:eastAsia="Arial" w:cs="Arial"/>
                <w:sz w:val="20"/>
                <w:szCs w:val="20"/>
              </w:rPr>
              <w:t>1</w:t>
            </w:r>
          </w:p>
        </w:tc>
        <w:tc>
          <w:tcPr>
            <w:tcW w:w="2599"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rPr/>
            </w:pPr>
            <w:r>
              <w:rPr>
                <w:rFonts w:eastAsia="Arial" w:cs="Arial"/>
                <w:b/>
                <w:bCs/>
                <w:sz w:val="20"/>
                <w:szCs w:val="20"/>
              </w:rPr>
              <w:t>Steam Store Games Dataset</w:t>
            </w:r>
          </w:p>
        </w:tc>
        <w:tc>
          <w:tcPr>
            <w:tcW w:w="6721"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jc w:val="start"/>
              <w:rPr/>
            </w:pPr>
            <w:r>
              <w:rPr>
                <w:rFonts w:eastAsia="Arial" w:cs="Arial"/>
                <w:sz w:val="20"/>
                <w:szCs w:val="20"/>
              </w:rPr>
              <w:t>Kaggle ,  "Steam Store Games (Clean dataset)" by Nik Davis. Contains metadata for 27,000+ Steam titles.</w:t>
            </w:r>
          </w:p>
        </w:tc>
      </w:tr>
      <w:tr>
        <w:trPr/>
        <w:tc>
          <w:tcPr>
            <w:tcW w:w="400"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jc w:val="center"/>
              <w:rPr/>
            </w:pPr>
            <w:r>
              <w:rPr>
                <w:rFonts w:eastAsia="Arial" w:cs="Arial"/>
                <w:sz w:val="20"/>
                <w:szCs w:val="20"/>
              </w:rPr>
              <w:t>2</w:t>
            </w:r>
          </w:p>
        </w:tc>
        <w:tc>
          <w:tcPr>
            <w:tcW w:w="2599"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rPr/>
            </w:pPr>
            <w:r>
              <w:rPr>
                <w:rFonts w:eastAsia="Arial" w:cs="Arial"/>
                <w:b/>
                <w:bCs/>
                <w:sz w:val="20"/>
                <w:szCs w:val="20"/>
              </w:rPr>
              <w:t>Scikit-learn TfidfVectorizer</w:t>
            </w:r>
          </w:p>
        </w:tc>
        <w:tc>
          <w:tcPr>
            <w:tcW w:w="6721"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jc w:val="start"/>
              <w:rPr/>
            </w:pPr>
            <w:r>
              <w:rPr>
                <w:rFonts w:eastAsia="Arial" w:cs="Arial"/>
                <w:sz w:val="20"/>
                <w:szCs w:val="20"/>
              </w:rPr>
              <w:t>sklearn.feature_extraction.text.TfidfVectorizer. Pedregosa et al. (2011). Scikit-learn: Machine Learning in Python. JMLR 12, pp. 2825–2830.</w:t>
            </w:r>
          </w:p>
        </w:tc>
      </w:tr>
      <w:tr>
        <w:trPr/>
        <w:tc>
          <w:tcPr>
            <w:tcW w:w="400"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jc w:val="center"/>
              <w:rPr/>
            </w:pPr>
            <w:r>
              <w:rPr>
                <w:rFonts w:eastAsia="Arial" w:cs="Arial"/>
                <w:sz w:val="20"/>
                <w:szCs w:val="20"/>
              </w:rPr>
              <w:t>3</w:t>
            </w:r>
          </w:p>
        </w:tc>
        <w:tc>
          <w:tcPr>
            <w:tcW w:w="2599"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rPr/>
            </w:pPr>
            <w:r>
              <w:rPr>
                <w:rFonts w:eastAsia="Arial" w:cs="Arial"/>
                <w:b/>
                <w:bCs/>
                <w:sz w:val="20"/>
                <w:szCs w:val="20"/>
              </w:rPr>
              <w:t>Scikit-learn linear_kernel</w:t>
            </w:r>
          </w:p>
        </w:tc>
        <w:tc>
          <w:tcPr>
            <w:tcW w:w="6721"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jc w:val="start"/>
              <w:rPr/>
            </w:pPr>
            <w:r>
              <w:rPr>
                <w:rFonts w:eastAsia="Arial" w:cs="Arial"/>
                <w:sz w:val="20"/>
                <w:szCs w:val="20"/>
              </w:rPr>
              <w:t>sklearn.metrics.pairwise.linear_kernel. Used as a computationally efficient substitute for cosine_similarity on TF-IDF sparse matrices.</w:t>
            </w:r>
          </w:p>
        </w:tc>
      </w:tr>
      <w:tr>
        <w:trPr/>
        <w:tc>
          <w:tcPr>
            <w:tcW w:w="400"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jc w:val="center"/>
              <w:rPr/>
            </w:pPr>
            <w:r>
              <w:rPr>
                <w:rFonts w:eastAsia="Arial" w:cs="Arial"/>
                <w:sz w:val="20"/>
                <w:szCs w:val="20"/>
              </w:rPr>
              <w:t>4</w:t>
            </w:r>
          </w:p>
        </w:tc>
        <w:tc>
          <w:tcPr>
            <w:tcW w:w="2599"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rPr/>
            </w:pPr>
            <w:r>
              <w:rPr>
                <w:rFonts w:eastAsia="Arial" w:cs="Arial"/>
                <w:b/>
                <w:bCs/>
                <w:sz w:val="20"/>
                <w:szCs w:val="20"/>
              </w:rPr>
              <w:t>Scikit-learn KMeans</w:t>
            </w:r>
          </w:p>
        </w:tc>
        <w:tc>
          <w:tcPr>
            <w:tcW w:w="6721"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jc w:val="start"/>
              <w:rPr/>
            </w:pPr>
            <w:r>
              <w:rPr>
                <w:rFonts w:eastAsia="Arial" w:cs="Arial"/>
                <w:sz w:val="20"/>
                <w:szCs w:val="20"/>
              </w:rPr>
              <w:t>sklearn.cluster.KMeans with sklearn.preprocessing.StandardScaler. Standard K-Means implementation with k-means++ initialization.</w:t>
            </w:r>
          </w:p>
        </w:tc>
      </w:tr>
      <w:tr>
        <w:trPr/>
        <w:tc>
          <w:tcPr>
            <w:tcW w:w="400"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jc w:val="center"/>
              <w:rPr/>
            </w:pPr>
            <w:r>
              <w:rPr>
                <w:rFonts w:eastAsia="Arial" w:cs="Arial"/>
                <w:sz w:val="20"/>
                <w:szCs w:val="20"/>
              </w:rPr>
              <w:t>5</w:t>
            </w:r>
          </w:p>
        </w:tc>
        <w:tc>
          <w:tcPr>
            <w:tcW w:w="2599"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rPr/>
            </w:pPr>
            <w:r>
              <w:rPr>
                <w:rFonts w:eastAsia="Arial" w:cs="Arial"/>
                <w:b/>
                <w:bCs/>
                <w:sz w:val="20"/>
                <w:szCs w:val="20"/>
              </w:rPr>
              <w:t>Ray</w:t>
            </w:r>
          </w:p>
        </w:tc>
        <w:tc>
          <w:tcPr>
            <w:tcW w:w="6721"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jc w:val="start"/>
              <w:rPr/>
            </w:pPr>
            <w:r>
              <w:rPr>
                <w:rFonts w:eastAsia="Arial" w:cs="Arial"/>
                <w:sz w:val="20"/>
                <w:szCs w:val="20"/>
              </w:rPr>
              <w:t>Moritz et al. (2018). Ray: A Distributed Framework for Emerging AI Applications. OSDI 2018. Used for parallel data preprocessing.</w:t>
            </w:r>
          </w:p>
        </w:tc>
      </w:tr>
      <w:tr>
        <w:trPr/>
        <w:tc>
          <w:tcPr>
            <w:tcW w:w="400"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jc w:val="center"/>
              <w:rPr/>
            </w:pPr>
            <w:r>
              <w:rPr>
                <w:rFonts w:eastAsia="Arial" w:cs="Arial"/>
                <w:sz w:val="20"/>
                <w:szCs w:val="20"/>
              </w:rPr>
              <w:t>6</w:t>
            </w:r>
          </w:p>
        </w:tc>
        <w:tc>
          <w:tcPr>
            <w:tcW w:w="2599"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rPr/>
            </w:pPr>
            <w:r>
              <w:rPr>
                <w:rFonts w:eastAsia="Arial" w:cs="Arial"/>
                <w:b/>
                <w:bCs/>
                <w:sz w:val="20"/>
                <w:szCs w:val="20"/>
              </w:rPr>
              <w:t>Seaborn / Matplotlib</w:t>
            </w:r>
          </w:p>
        </w:tc>
        <w:tc>
          <w:tcPr>
            <w:tcW w:w="6721" w:type="dxa"/>
            <w:tcBorders>
              <w:top w:val="single" w:sz="2" w:space="0" w:color="CCCCCC"/>
              <w:start w:val="single" w:sz="2" w:space="0" w:color="CCCCCC"/>
              <w:bottom w:val="single" w:sz="2" w:space="0" w:color="CCCCCC"/>
              <w:end w:val="single" w:sz="2" w:space="0" w:color="CCCCCC"/>
            </w:tcBorders>
            <w:shd w:fill="EEF2F7" w:val="clear"/>
            <w:tcMar>
              <w:top w:w="80" w:type="dxa"/>
              <w:start w:w="120" w:type="dxa"/>
              <w:bottom w:w="80" w:type="dxa"/>
              <w:end w:w="120" w:type="dxa"/>
            </w:tcMar>
            <w:vAlign w:val="center"/>
          </w:tcPr>
          <w:p>
            <w:pPr>
              <w:pStyle w:val="Normal"/>
              <w:jc w:val="start"/>
              <w:rPr/>
            </w:pPr>
            <w:r>
              <w:rPr>
                <w:rFonts w:eastAsia="Arial" w:cs="Arial"/>
                <w:sz w:val="20"/>
                <w:szCs w:val="20"/>
              </w:rPr>
              <w:t>Waskom et al. (2021). seaborn: statistical data visualization. JOSS 6(60), 3021. All EDA and evaluation plots produced with these libraries.</w:t>
            </w:r>
          </w:p>
        </w:tc>
      </w:tr>
      <w:tr>
        <w:trPr/>
        <w:tc>
          <w:tcPr>
            <w:tcW w:w="400"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jc w:val="center"/>
              <w:rPr/>
            </w:pPr>
            <w:r>
              <w:rPr>
                <w:rFonts w:eastAsia="Arial" w:cs="Arial"/>
                <w:sz w:val="20"/>
                <w:szCs w:val="20"/>
              </w:rPr>
              <w:t>7</w:t>
            </w:r>
          </w:p>
        </w:tc>
        <w:tc>
          <w:tcPr>
            <w:tcW w:w="2599"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rPr/>
            </w:pPr>
            <w:r>
              <w:rPr>
                <w:rFonts w:eastAsia="Arial" w:cs="Arial"/>
                <w:b/>
                <w:bCs/>
                <w:sz w:val="20"/>
                <w:szCs w:val="20"/>
              </w:rPr>
              <w:t>Pandas / NumPy</w:t>
            </w:r>
          </w:p>
        </w:tc>
        <w:tc>
          <w:tcPr>
            <w:tcW w:w="6721" w:type="dxa"/>
            <w:tcBorders>
              <w:top w:val="single" w:sz="2" w:space="0" w:color="CCCCCC"/>
              <w:start w:val="single" w:sz="2" w:space="0" w:color="CCCCCC"/>
              <w:bottom w:val="single" w:sz="2" w:space="0" w:color="CCCCCC"/>
              <w:end w:val="single" w:sz="2" w:space="0" w:color="CCCCCC"/>
            </w:tcBorders>
            <w:shd w:fill="FFFFFF" w:val="clear"/>
            <w:tcMar>
              <w:top w:w="80" w:type="dxa"/>
              <w:start w:w="120" w:type="dxa"/>
              <w:bottom w:w="80" w:type="dxa"/>
              <w:end w:w="120" w:type="dxa"/>
            </w:tcMar>
            <w:vAlign w:val="center"/>
          </w:tcPr>
          <w:p>
            <w:pPr>
              <w:pStyle w:val="Normal"/>
              <w:jc w:val="start"/>
              <w:rPr/>
            </w:pPr>
            <w:r>
              <w:rPr>
                <w:rFonts w:eastAsia="Arial" w:cs="Arial"/>
                <w:sz w:val="20"/>
                <w:szCs w:val="20"/>
              </w:rPr>
              <w:t>McKinney (2010). Data Structures for Statistical Computing in Python. Proc. of the 9th Python in Science Conference. Core data manipulation libraries.</w:t>
            </w:r>
          </w:p>
        </w:tc>
      </w:tr>
    </w:tbl>
    <w:p>
      <w:pPr>
        <w:pStyle w:val="Normal"/>
        <w:spacing w:before="480" w:after="80"/>
        <w:rPr/>
      </w:pPr>
      <w:r>
        <w:rPr/>
      </w:r>
    </w:p>
    <w:p>
      <w:pPr>
        <w:pStyle w:val="Normal"/>
        <w:pBdr>
          <w:bottom w:val="single" w:sz="6" w:space="1" w:color="4472C4"/>
        </w:pBdr>
        <w:spacing w:before="80" w:after="80"/>
        <w:rPr/>
      </w:pPr>
      <w:r>
        <w:rPr/>
      </w:r>
    </w:p>
    <w:p>
      <w:pPr>
        <w:pStyle w:val="Normal"/>
        <w:spacing w:before="160" w:after="80"/>
        <w:jc w:val="center"/>
        <w:rPr/>
      </w:pPr>
      <w:r>
        <w:rPr>
          <w:rFonts w:eastAsia="Arial" w:cs="Arial"/>
          <w:i/>
          <w:iCs/>
          <w:color w:val="888888"/>
          <w:sz w:val="20"/>
          <w:szCs w:val="20"/>
        </w:rPr>
        <w:t>End of Final Report  ,   Awami PC Recommender</w:t>
      </w:r>
    </w:p>
    <w:sectPr>
      <w:type w:val="nextPage"/>
      <w:pgSz w:w="12240" w:h="15840"/>
      <w:pgMar w:left="1260" w:right="126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20" w:after="160"/>
      <w:outlineLvl w:val="0"/>
    </w:pPr>
    <w:rPr>
      <w:rFonts w:ascii="Arial" w:hAnsi="Arial" w:eastAsia="Arial" w:cs="Arial"/>
      <w:b/>
      <w:bCs/>
      <w:color w:val="1F3864"/>
      <w:sz w:val="36"/>
      <w:szCs w:val="36"/>
    </w:rPr>
  </w:style>
  <w:style w:type="paragraph" w:styleId="Heading2">
    <w:name w:val="heading 2"/>
    <w:basedOn w:val="Heading"/>
    <w:qFormat/>
    <w:pPr>
      <w:spacing w:before="240" w:after="120"/>
      <w:outlineLvl w:val="1"/>
    </w:pPr>
    <w:rPr>
      <w:rFonts w:ascii="Arial" w:hAnsi="Arial" w:eastAsia="Arial" w:cs="Arial"/>
      <w:b/>
      <w:bCs/>
      <w:color w:val="2E4057"/>
      <w:sz w:val="28"/>
      <w:szCs w:val="28"/>
    </w:rPr>
  </w:style>
  <w:style w:type="paragraph" w:styleId="Heading3">
    <w:name w:val="heading 3"/>
    <w:basedOn w:val="Heading"/>
    <w:qFormat/>
    <w:pPr>
      <w:spacing w:before="180" w:after="100"/>
      <w:outlineLvl w:val="2"/>
    </w:pPr>
    <w:rPr>
      <w:rFonts w:ascii="Arial" w:hAnsi="Arial" w:eastAsia="Arial" w:cs="Arial"/>
      <w:b/>
      <w:bCs/>
      <w:color w:val="2E4057"/>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LibreOffice/26.2.3.2$Linux_X86_64 LibreOffice_project/620$Build-2</Application>
  <AppVersion>15.0000</AppVersion>
  <Pages>8</Pages>
  <Words>1407</Words>
  <Characters>9074</Characters>
  <CharactersWithSpaces>10287</CharactersWithSpaces>
  <Paragraphs>194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2026-05-09T16:22:42Z</dcterms:created>
  <dc:creator>Un-named</dc:creator>
  <dc:description/>
  <dc:language>en-US</dc:language>
  <cp:lastModifiedBy/>
  <dcterms:modified xsi:type="dcterms:W3CDTF">2026-05-09T21:32:00Z</dcterms:modified>
  <cp:revision>2</cp:revision>
  <dc:subject/>
  <dc:title/>
</cp:coreProperties>
</file>