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Reflection: Working with AI on the Email-Task-Agent Project</w:t>
      </w:r>
    </w:p>
    <w:p>
      <w:pPr>
        <w:spacing w:after="400"/>
      </w:pPr>
      <w:r>
        <w:rPr>
          <w:i/>
          <w:iCs/>
          <w:color w:val="555555"/>
        </w:rPr>
        <w:t xml:space="preserve">Internship — Weeks 5 to 7 · Django/DRF backend, React frontend, Groq-based agent</w:t>
      </w:r>
    </w:p>
    <w:p>
      <w:pPr>
        <w:pStyle w:val="Heading1"/>
        <w:spacing w:after="160" w:before="320"/>
      </w:pPr>
      <w:r>
        <w:t xml:space="preserve">1. What the AI Did Well</w:t>
      </w:r>
    </w:p>
    <w:p>
      <w:pPr>
        <w:pStyle w:val="Heading2"/>
        <w:spacing w:after="120" w:before="240"/>
      </w:pPr>
      <w:r>
        <w:t xml:space="preserve">Restructuring a messy codebase into a clean architecture</w:t>
      </w:r>
    </w:p>
    <w:p>
      <w:pPr>
        <w:spacing w:after="160"/>
      </w:pPr>
      <w:r>
        <w:t xml:space="preserve">At the start of Week 6, the project's email-fetching and task-extraction logic all lived inside the Agent package, which conflated the agent's job (LLM reasoning) with the backend's job (fetching, orchestration, persistence). Claude proposed and implemented a clear three-layer split — Agent (LLM calls, memory, tools, skills), Backend (Django/DRF: Gmail IMAP fetch, REST API, SQLite persistence), Frontend (React/Vite dashboard) — before writing any code, and checked that division against my own stated approach first rather than just proceeding.</w:t>
      </w:r>
    </w:p>
    <w:p>
      <w:pPr>
        <w:pStyle w:val="Heading2"/>
        <w:spacing w:after="120" w:before="240"/>
      </w:pPr>
      <w:r>
        <w:t xml:space="preserve">Incremental, testable feature delivery</w:t>
      </w:r>
    </w:p>
    <w:p>
      <w:pPr>
        <w:spacing w:after="160"/>
      </w:pPr>
      <w:r>
        <w:t xml:space="preserve">Once the split was in place, features were added one at a time and in a sensible order: Task and FetchedEmail models with CRUD endpoints, a key-value memory layer for de-duplication, DRF token authentication with per-user task isolation, React Router with protected routes and a login screen, and a natural-language name-lookup feature (“Ask the Mail Room”). Each addition was scoped to one concern rather than bundling unrelated changes.</w:t>
      </w:r>
    </w:p>
    <w:p>
      <w:pPr>
        <w:pStyle w:val="Heading2"/>
        <w:spacing w:after="120" w:before="240"/>
      </w:pPr>
      <w:r>
        <w:t xml:space="preserve">Verifying before handing off</w:t>
      </w:r>
    </w:p>
    <w:p>
      <w:pPr>
        <w:spacing w:after="160"/>
      </w:pPr>
      <w:r>
        <w:t xml:space="preserve">Claude built and ran the code in a sandbox replica of the project to confirm a pytest suite (19 tests across permissions, extraction memory, name lookup, and output validation) actually passed, including deliberately reintroducing a bug to regression-test the fix. That caught problems before they reached my machine instead of after.</w:t>
      </w:r>
    </w:p>
    <w:p>
      <w:pPr>
        <w:pStyle w:val="Heading2"/>
        <w:spacing w:after="120" w:before="240"/>
      </w:pPr>
      <w:r>
        <w:t xml:space="preserve">Explaining concepts before implementing them</w:t>
      </w:r>
    </w:p>
    <w:p>
      <w:pPr>
        <w:spacing w:after="160"/>
      </w:pPr>
      <w:r>
        <w:t xml:space="preserve">In the agent-architecture session, new ideas (the ReAct loop, planner-executor-memory, tool calling, Skills, hooks, memory systems) were introduced with a concrete analogy first and a diagram second, before any code — matching how I actually wanted to learn the material rather than just being handed a working implementation.</w:t>
      </w:r>
    </w:p>
    <w:p>
      <w:pPr>
        <w:pStyle w:val="Heading2"/>
        <w:spacing w:after="120" w:before="240"/>
      </w:pPr>
      <w:r>
        <w:t xml:space="preserve">Adapting to how I wanted to receive output</w:t>
      </w:r>
    </w:p>
    <w:p>
      <w:pPr>
        <w:spacing w:after="160"/>
      </w:pPr>
      <w:r>
        <w:t xml:space="preserve">After an early exchange where files were presented as structure trees and download links, I asked for plain code blocks with file paths so I could copy-paste directly — Claude switched to that format for the rest of the session without needing to be asked again.</w:t>
      </w:r>
    </w:p>
    <w:p>
      <w:pPr>
        <w:pStyle w:val="Heading1"/>
        <w:spacing w:after="160" w:before="320"/>
      </w:pPr>
      <w:r>
        <w:t xml:space="preserve">2. Where It Fell Short</w:t>
      </w:r>
    </w:p>
    <w:p>
      <w:pPr>
        <w:pStyle w:val="Heading2"/>
        <w:spacing w:after="120" w:before="240"/>
      </w:pPr>
      <w:r>
        <w:t xml:space="preserve">Security was not built in by default</w:t>
      </w:r>
    </w:p>
    <w:p>
      <w:pPr>
        <w:spacing w:after="160"/>
      </w:pPr>
      <w:r>
        <w:t xml:space="preserve">The most serious miss: the first working version of the API shipped with no authentication. Every endpoint was open — a DELETE request with no credentials was enough to remove a task pulled from a private inbox, and task ownership wasn't tied to the logged-in user at all. This wasn't caught proactively; I had to report it explicitly (“I sent a delete request from my terminal with no password at all and it deleted a task”) before IsAuthenticated and per-user ownership were added. For an app handling private email content, auth-by-default should have been part of the initial design, not a patch applied after a demonstrated hole.</w:t>
      </w:r>
    </w:p>
    <w:p>
      <w:pPr>
        <w:pStyle w:val="Heading2"/>
        <w:spacing w:after="120" w:before="240"/>
      </w:pPr>
      <w:r>
        <w:t xml:space="preserve">State/memory design needed a second pass</w:t>
      </w:r>
    </w:p>
    <w:p>
      <w:pPr>
        <w:spacing w:after="160"/>
      </w:pPr>
      <w:r>
        <w:t xml:space="preserve">The de-duplication memory layer was first built keyed by email thread. That meant a new reply arriving in a thread Claude had already seen was silently dropped instead of surfaced as a new task — a real correctness bug, not a style issue. It took a bug report to identify, and the design had to be reworked to key per-message instead of per-thread.</w:t>
      </w:r>
    </w:p>
    <w:p>
      <w:pPr>
        <w:pStyle w:val="Heading2"/>
        <w:spacing w:after="120" w:before="240"/>
      </w:pPr>
      <w:r>
        <w:t xml:space="preserve">A feature was redesigned twice for the same reason</w:t>
      </w:r>
    </w:p>
    <w:p>
      <w:pPr>
        <w:spacing w:after="160"/>
      </w:pPr>
      <w:r>
        <w:t xml:space="preserve">The natural-language name-lookup feature went through two design iterations — first DB-only, then DB-first with a live Gmail fallback — because the first version didn't account for someone being asked about before their message had ever been fetched and stored. The gap was reasonable to miss initially, but it suggests the first design wasn't stress-tested against an obvious edge case (a name with no local history yet) before being proposed.</w:t>
      </w:r>
    </w:p>
    <w:p>
      <w:pPr>
        <w:pStyle w:val="Heading2"/>
        <w:spacing w:after="120" w:before="240"/>
      </w:pPr>
      <w:r>
        <w:t xml:space="preserve">Cross-platform friction wasn't anticipated</w:t>
      </w:r>
    </w:p>
    <w:p>
      <w:pPr>
        <w:spacing w:after="160"/>
      </w:pPr>
      <w:r>
        <w:t xml:space="preserve">Moving the project from my Linux development machine to a Windows machine surfaced a string of environment issues — npm and node not being recognized until PowerShell was restarted, Docker not installing cleanly under WSL — that took several rounds of trial and error to resolve. These weren't flagged as likely risks ahead of the migration.</w:t>
      </w:r>
    </w:p>
    <w:p>
      <w:pPr>
        <w:pStyle w:val="Heading2"/>
        <w:spacing w:after="120" w:before="240"/>
      </w:pPr>
      <w:r>
        <w:t xml:space="preserve">Drift from the original proposal wasn't reconciled up front</w:t>
      </w:r>
    </w:p>
    <w:p>
      <w:pPr>
        <w:spacing w:after="160"/>
      </w:pPr>
      <w:r>
        <w:t xml:space="preserve">The internship proposal specified Claude API and Ollama for model routing; the implementation used Groq as the primary provider throughout. This was fine once confirmed, but it surfaced as something I had to notice and confirm explicitly rather than being flagged and reconciled against the proposal as the drift happened.</w:t>
      </w:r>
    </w:p>
    <w:p>
      <w:pPr>
        <w:pStyle w:val="Heading1"/>
        <w:spacing w:after="160" w:before="320"/>
      </w:pPr>
      <w:r>
        <w:t xml:space="preserve">3. Lessons Learned</w:t>
      </w:r>
    </w:p>
    <w:p>
      <w:pPr>
        <w:pStyle w:val="ListParagraph"/>
        <w:numPr>
          <w:ilvl w:val="0"/>
          <w:numId w:val="1"/>
        </w:numPr>
        <w:spacing w:after="80"/>
      </w:pPr>
      <w:r>
        <w:rPr>
          <w:b/>
          <w:bCs/>
        </w:rPr>
        <w:t xml:space="preserve">Default to secure, not just to working. </w:t>
      </w:r>
      <w:r>
        <w:t xml:space="preserve">Auth, permissions, and ownership checks belong in the first working version of any endpoint that touches private data — not added after a hole is demonstrated. Next time, I'll ask explicitly “what's the auth story for this endpoint” before treating a feature as done.</w:t>
      </w:r>
    </w:p>
    <w:p>
      <w:pPr>
        <w:pStyle w:val="ListParagraph"/>
        <w:numPr>
          <w:ilvl w:val="0"/>
          <w:numId w:val="1"/>
        </w:numPr>
        <w:spacing w:after="80"/>
      </w:pPr>
      <w:r>
        <w:rPr>
          <w:b/>
          <w:bCs/>
        </w:rPr>
        <w:t xml:space="preserve">Name the edge cases before building state/memory logic. </w:t>
      </w:r>
      <w:r>
        <w:t xml:space="preserve">The thread-keyed memory bug and the name-lookup redesign both came from not asking “what happens the second time this runs” or “what if the data isn't there yet” before writing the first version. A short list of edge cases up front would have caught both earlier.</w:t>
      </w:r>
    </w:p>
    <w:p>
      <w:pPr>
        <w:pStyle w:val="ListParagraph"/>
        <w:numPr>
          <w:ilvl w:val="0"/>
          <w:numId w:val="1"/>
        </w:numPr>
        <w:spacing w:after="80"/>
      </w:pPr>
      <w:r>
        <w:rPr>
          <w:b/>
          <w:bCs/>
        </w:rPr>
        <w:t xml:space="preserve">Reconcile the plan against the proposal explicitly, not silently. </w:t>
      </w:r>
      <w:r>
        <w:t xml:space="preserve">When implementation choices (like the model provider) diverge from a written proposal, that divergence is worth calling out and confirming in the moment, rather than letting it accumulate and surface later as a surprise.</w:t>
      </w:r>
    </w:p>
    <w:p>
      <w:pPr>
        <w:pStyle w:val="ListParagraph"/>
        <w:numPr>
          <w:ilvl w:val="0"/>
          <w:numId w:val="1"/>
        </w:numPr>
        <w:spacing w:after="80"/>
      </w:pPr>
      <w:r>
        <w:rPr>
          <w:b/>
          <w:bCs/>
        </w:rPr>
        <w:t xml:space="preserve">Flag environment risk before a platform switch, not during it. </w:t>
      </w:r>
      <w:r>
        <w:t xml:space="preserve">Moving from Linux to Windows was foreseeable; walking through the likely friction points (PATH, package managers, Docker/WSL) before the migration, rather than debugging them live, would have saved a fair amount of back-and-forth.</w:t>
      </w:r>
    </w:p>
    <w:p>
      <w:pPr>
        <w:pStyle w:val="ListParagraph"/>
        <w:numPr>
          <w:ilvl w:val="0"/>
          <w:numId w:val="1"/>
        </w:numPr>
        <w:spacing w:after="80"/>
      </w:pPr>
      <w:r>
        <w:rPr>
          <w:b/>
          <w:bCs/>
        </w:rPr>
        <w:t xml:space="preserve">The concept-first teaching style worked — keep using it. </w:t>
      </w:r>
      <w:r>
        <w:t xml:space="preserve">Analogy → diagram → code, as used in the agent-architecture session, matched how I actually retain material, and is worth explicitly asking for again in future technical sessions rather than defaulting straight to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2026-08-26T20:50:06.850Z</dcterms:created>
  <dcterms:modified xsi:type="dcterms:W3CDTF">2026-08-26T20:50:06.867Z</dcterms:modified>
</cp:coreProperties>
</file>

<file path=docProps/custom.xml><?xml version="1.0" encoding="utf-8"?>
<Properties xmlns="http://schemas.openxmlformats.org/officeDocument/2006/custom-properties" xmlns:vt="http://schemas.openxmlformats.org/officeDocument/2006/docPropsVTypes"/>
</file>