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52"/>
          <w:szCs w:val="52"/>
        </w:rPr>
        <w:t xml:space="preserve">MARKETING CAMPAIGN</w:t>
      </w:r>
    </w:p>
    <w:p>
      <w:pPr>
        <w:spacing w:after="400"/>
        <w:jc w:val="center"/>
      </w:pPr>
      <w:r>
        <w:rPr>
          <w:b/>
          <w:bCs/>
          <w:color w:val="1F3A5F"/>
          <w:sz w:val="52"/>
          <w:szCs w:val="52"/>
        </w:rPr>
        <w:t xml:space="preserve">PERFORMANCE REPORT</w:t>
      </w:r>
    </w:p>
    <w:p>
      <w:pPr>
        <w:pBdr>
          <w:bottom w:val="single" w:color="C9974B" w:sz="6" w:space="10"/>
        </w:pBdr>
        <w:spacing w:after="400"/>
        <w:jc w:val="center"/>
      </w:pPr>
      <w:r>
        <w:t xml:space="preserve"/>
      </w:r>
    </w:p>
    <w:p>
      <w:pPr>
        <w:spacing w:after="120"/>
        <w:jc w:val="center"/>
      </w:pPr>
      <w:r>
        <w:rPr>
          <w:color w:val="6B7280"/>
          <w:sz w:val="24"/>
          <w:szCs w:val="24"/>
        </w:rPr>
        <w:t xml:space="preserve">2,000 campaigns across five companies, six channels, and twelve months of 2021</w:t>
      </w:r>
    </w:p>
    <w:p>
      <w:pPr>
        <w:spacing w:before="3600"/>
      </w:pPr>
    </w:p>
    <w:p>
      <w:pPr>
        <w:jc w:val="center"/>
      </w:pPr>
      <w:r>
        <w:rPr>
          <w:color w:val="6B7280"/>
          <w:sz w:val="20"/>
          <w:szCs w:val="20"/>
        </w:rPr>
        <w:t xml:space="preserve">Prepared September 2026</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A5F"/>
        </w:rPr>
        <w:t xml:space="preserve">Executive Summary</w:t>
      </w:r>
    </w:p>
    <w:p>
      <w:pPr>
        <w:spacing w:after="160" w:line="300"/>
      </w:pPr>
      <w:r>
        <w:rPr>
          <w:color w:val="222222"/>
          <w:sz w:val="22"/>
          <w:szCs w:val="22"/>
        </w:rPr>
        <w:t xml:space="preserve">This report covers 2,000 campaigns run in 2021 by five companies (Alpha Innovations, DataTech Solutions, Innovate Industries, NexGen Systems, and TechCorp) across six channels and five campaign types. Total ad spend across the set was $24.8 million, with an average ROI of 5.06x and just over half of campaigns (52.3%) closing in profit.</w:t>
      </w:r>
    </w:p>
    <w:p>
      <w:pPr>
        <w:spacing w:after="160" w:line="300"/>
      </w:pPr>
      <w:r>
        <w:rPr>
          <w:color w:val="222222"/>
          <w:sz w:val="22"/>
          <w:szCs w:val="22"/>
        </w:rPr>
        <w:t xml:space="preserve">The headline finding is that performance is fairly evenly spread. No single company, channel, or audience dramatically outperforms the rest, and the standard drivers you'd expect to move ROI, like engagement score, conversion rate, or time on page, show almost no statistical relationship to it in this dataset. That's a useful finding in itself: it suggests ROI here is closer to a fixed campaign attribute than something the team can reliably lever by adjusting these inputs, and it's worth flagging that possibility before using this data to guide budget decisions.</w:t>
      </w:r>
    </w:p>
    <w:p>
      <w:pPr>
        <w:spacing w:after="160" w:line="300"/>
      </w:pPr>
      <w:r>
        <w:rPr>
          <w:color w:val="222222"/>
          <w:sz w:val="22"/>
          <w:szCs w:val="22"/>
        </w:rPr>
        <w:t xml:space="preserve">Where real, if modest, differences do show up: Facebook and YouTube post the strongest average ROI among channels, Men 18-24 is the strongest-performing audience segment, and organic traffic outperforms paid and social. These gaps are in the 5-10% range rather than dramatic, so we'd treat them as directional rather than definitive.</w:t>
      </w:r>
    </w:p>
    <w:p>
      <w:pPr>
        <w:pStyle w:val="Heading1"/>
        <w:spacing w:after="160" w:before="360"/>
      </w:pPr>
      <w:r>
        <w:rPr>
          <w:b/>
          <w:bCs/>
          <w:color w:val="1F3A5F"/>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EE5" w:sz="2"/>
              <w:left w:val="single" w:color="D9DEE5" w:sz="2"/>
              <w:bottom w:val="single" w:color="D9DEE5" w:sz="2"/>
              <w:right w:val="single" w:color="D9DEE5" w:sz="2"/>
            </w:tcBorders>
            <w:shd w:fill="EDF1F6" w:val="clear"/>
            <w:tcMar>
              <w:top w:type="dxa" w:w="160"/>
              <w:left w:type="dxa" w:w="160"/>
              <w:bottom w:type="dxa" w:w="160"/>
              <w:right w:type="dxa" w:w="160"/>
            </w:tcMar>
          </w:tcPr>
          <w:p>
            <w:pPr>
              <w:spacing w:after="40"/>
              <w:jc w:val="center"/>
            </w:pPr>
            <w:r>
              <w:rPr>
                <w:b/>
                <w:bCs/>
                <w:color w:val="1F3A5F"/>
                <w:sz w:val="30"/>
                <w:szCs w:val="30"/>
              </w:rPr>
              <w:t xml:space="preserve">2,000</w:t>
            </w:r>
          </w:p>
          <w:p>
            <w:pPr>
              <w:jc w:val="center"/>
            </w:pPr>
            <w:r>
              <w:rPr>
                <w:color w:val="6B7280"/>
                <w:sz w:val="18"/>
                <w:szCs w:val="18"/>
              </w:rPr>
              <w:t xml:space="preserve">Total Campaigns</w:t>
            </w:r>
          </w:p>
        </w:tc>
        <w:tc>
          <w:tcPr>
            <w:tcW w:type="dxa" w:w="2340"/>
            <w:tcBorders>
              <w:top w:val="single" w:color="D9DEE5" w:sz="2"/>
              <w:left w:val="single" w:color="D9DEE5" w:sz="2"/>
              <w:bottom w:val="single" w:color="D9DEE5" w:sz="2"/>
              <w:right w:val="single" w:color="D9DEE5" w:sz="2"/>
            </w:tcBorders>
            <w:shd w:fill="EDF1F6" w:val="clear"/>
            <w:tcMar>
              <w:top w:type="dxa" w:w="160"/>
              <w:left w:type="dxa" w:w="160"/>
              <w:bottom w:type="dxa" w:w="160"/>
              <w:right w:type="dxa" w:w="160"/>
            </w:tcMar>
          </w:tcPr>
          <w:p>
            <w:pPr>
              <w:spacing w:after="40"/>
              <w:jc w:val="center"/>
            </w:pPr>
            <w:r>
              <w:rPr>
                <w:b/>
                <w:bCs/>
                <w:color w:val="1F3A5F"/>
                <w:sz w:val="30"/>
                <w:szCs w:val="30"/>
              </w:rPr>
              <w:t xml:space="preserve">$24.8M</w:t>
            </w:r>
          </w:p>
          <w:p>
            <w:pPr>
              <w:jc w:val="center"/>
            </w:pPr>
            <w:r>
              <w:rPr>
                <w:color w:val="6B7280"/>
                <w:sz w:val="18"/>
                <w:szCs w:val="18"/>
              </w:rPr>
              <w:t xml:space="preserve">Total Ad Spend</w:t>
            </w:r>
          </w:p>
        </w:tc>
        <w:tc>
          <w:tcPr>
            <w:tcW w:type="dxa" w:w="2340"/>
            <w:tcBorders>
              <w:top w:val="single" w:color="D9DEE5" w:sz="2"/>
              <w:left w:val="single" w:color="D9DEE5" w:sz="2"/>
              <w:bottom w:val="single" w:color="D9DEE5" w:sz="2"/>
              <w:right w:val="single" w:color="D9DEE5" w:sz="2"/>
            </w:tcBorders>
            <w:shd w:fill="EDF1F6" w:val="clear"/>
            <w:tcMar>
              <w:top w:type="dxa" w:w="160"/>
              <w:left w:type="dxa" w:w="160"/>
              <w:bottom w:type="dxa" w:w="160"/>
              <w:right w:type="dxa" w:w="160"/>
            </w:tcMar>
          </w:tcPr>
          <w:p>
            <w:pPr>
              <w:spacing w:after="40"/>
              <w:jc w:val="center"/>
            </w:pPr>
            <w:r>
              <w:rPr>
                <w:b/>
                <w:bCs/>
                <w:color w:val="1F3A5F"/>
                <w:sz w:val="30"/>
                <w:szCs w:val="30"/>
              </w:rPr>
              <w:t xml:space="preserve">5.06x</w:t>
            </w:r>
          </w:p>
          <w:p>
            <w:pPr>
              <w:jc w:val="center"/>
            </w:pPr>
            <w:r>
              <w:rPr>
                <w:color w:val="6B7280"/>
                <w:sz w:val="18"/>
                <w:szCs w:val="18"/>
              </w:rPr>
              <w:t xml:space="preserve">Average ROI</w:t>
            </w:r>
          </w:p>
        </w:tc>
        <w:tc>
          <w:tcPr>
            <w:tcW w:type="dxa" w:w="2340"/>
            <w:tcBorders>
              <w:top w:val="single" w:color="D9DEE5" w:sz="2"/>
              <w:left w:val="single" w:color="D9DEE5" w:sz="2"/>
              <w:bottom w:val="single" w:color="D9DEE5" w:sz="2"/>
              <w:right w:val="single" w:color="D9DEE5" w:sz="2"/>
            </w:tcBorders>
            <w:shd w:fill="EDF1F6" w:val="clear"/>
            <w:tcMar>
              <w:top w:type="dxa" w:w="160"/>
              <w:left w:type="dxa" w:w="160"/>
              <w:bottom w:type="dxa" w:w="160"/>
              <w:right w:type="dxa" w:w="160"/>
            </w:tcMar>
          </w:tcPr>
          <w:p>
            <w:pPr>
              <w:spacing w:after="40"/>
              <w:jc w:val="center"/>
            </w:pPr>
            <w:r>
              <w:rPr>
                <w:b/>
                <w:bCs/>
                <w:color w:val="1F3A5F"/>
                <w:sz w:val="30"/>
                <w:szCs w:val="30"/>
              </w:rPr>
              <w:t xml:space="preserve">52.3%</w:t>
            </w:r>
          </w:p>
          <w:p>
            <w:pPr>
              <w:jc w:val="center"/>
            </w:pPr>
            <w:r>
              <w:rPr>
                <w:color w:val="6B7280"/>
                <w:sz w:val="18"/>
                <w:szCs w:val="18"/>
              </w:rPr>
              <w:t xml:space="preserve">Profit Rate</w:t>
            </w:r>
          </w:p>
        </w:tc>
      </w:tr>
    </w:tbl>
    <w:p>
      <w:pPr>
        <w:spacing w:after="200"/>
      </w:pPr>
    </w:p>
    <w:p>
      <w:pPr>
        <w:pStyle w:val="Heading1"/>
        <w:spacing w:after="160" w:before="360"/>
      </w:pPr>
      <w:r>
        <w:rPr>
          <w:b/>
          <w:bCs/>
          <w:color w:val="1F3A5F"/>
        </w:rPr>
        <w:t xml:space="preserve">Performance by Company</w:t>
      </w:r>
    </w:p>
    <w:p>
      <w:pPr>
        <w:spacing w:after="160" w:line="300"/>
      </w:pPr>
      <w:r>
        <w:rPr>
          <w:color w:val="222222"/>
          <w:sz w:val="22"/>
          <w:szCs w:val="22"/>
        </w:rPr>
        <w:t xml:space="preserve">All five companies land within a narrow band, roughly 4.8x to 5.2x average ROI. TechCorp and Alpha Innovations edge out the group on both ROI and profit rate, while DataTech Solutions trails slightly on both measures despite spending a comparable amount.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400"/>
        <w:gridCol w:w="1500"/>
        <w:gridCol w:w="1860"/>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Company</w:t>
            </w:r>
          </w:p>
        </w:tc>
        <w:tc>
          <w:tcPr>
            <w:tcW w:type="dxa" w:w="1400"/>
            <w:shd w:fill="1F3A5F" w:val="clear"/>
            <w:tcMar>
              <w:top w:type="dxa" w:w="100"/>
              <w:left w:type="dxa" w:w="120"/>
              <w:bottom w:type="dxa" w:w="100"/>
              <w:right w:type="dxa" w:w="120"/>
            </w:tcMar>
            <w:vAlign w:val="center"/>
          </w:tcPr>
          <w:p>
            <w:r>
              <w:rPr>
                <w:b/>
                <w:bCs/>
                <w:color w:val="FFFFFF"/>
                <w:sz w:val="19"/>
                <w:szCs w:val="19"/>
              </w:rPr>
              <w:t xml:space="preserve">Campaigns</w:t>
            </w:r>
          </w:p>
        </w:tc>
        <w:tc>
          <w:tcPr>
            <w:tcW w:type="dxa" w:w="1600"/>
            <w:shd w:fill="1F3A5F" w:val="clear"/>
            <w:tcMar>
              <w:top w:type="dxa" w:w="100"/>
              <w:left w:type="dxa" w:w="120"/>
              <w:bottom w:type="dxa" w:w="100"/>
              <w:right w:type="dxa" w:w="120"/>
            </w:tcMar>
            <w:vAlign w:val="center"/>
          </w:tcPr>
          <w:p>
            <w:r>
              <w:rPr>
                <w:b/>
                <w:bCs/>
                <w:color w:val="FFFFFF"/>
                <w:sz w:val="19"/>
                <w:szCs w:val="19"/>
              </w:rPr>
              <w:t xml:space="preserve">Spend</w:t>
            </w:r>
          </w:p>
        </w:tc>
        <w:tc>
          <w:tcPr>
            <w:tcW w:type="dxa" w:w="1400"/>
            <w:shd w:fill="1F3A5F" w:val="clear"/>
            <w:tcMar>
              <w:top w:type="dxa" w:w="100"/>
              <w:left w:type="dxa" w:w="120"/>
              <w:bottom w:type="dxa" w:w="100"/>
              <w:right w:type="dxa" w:w="120"/>
            </w:tcMar>
            <w:vAlign w:val="center"/>
          </w:tcPr>
          <w:p>
            <w:r>
              <w:rPr>
                <w:b/>
                <w:bCs/>
                <w:color w:val="FFFFFF"/>
                <w:sz w:val="19"/>
                <w:szCs w:val="19"/>
              </w:rPr>
              <w:t xml:space="preserve">Avg. ROI</w:t>
            </w:r>
          </w:p>
        </w:tc>
        <w:tc>
          <w:tcPr>
            <w:tcW w:type="dxa" w:w="1500"/>
            <w:shd w:fill="1F3A5F" w:val="clear"/>
            <w:tcMar>
              <w:top w:type="dxa" w:w="100"/>
              <w:left w:type="dxa" w:w="120"/>
              <w:bottom w:type="dxa" w:w="100"/>
              <w:right w:type="dxa" w:w="120"/>
            </w:tcMar>
            <w:vAlign w:val="center"/>
          </w:tcPr>
          <w:p>
            <w:r>
              <w:rPr>
                <w:b/>
                <w:bCs/>
                <w:color w:val="FFFFFF"/>
                <w:sz w:val="19"/>
                <w:szCs w:val="19"/>
              </w:rPr>
              <w:t xml:space="preserve">Profit Rate</w:t>
            </w:r>
          </w:p>
        </w:tc>
        <w:tc>
          <w:tcPr>
            <w:tcW w:type="dxa" w:w="1860"/>
            <w:shd w:fill="1F3A5F" w:val="clear"/>
            <w:tcMar>
              <w:top w:type="dxa" w:w="100"/>
              <w:left w:type="dxa" w:w="120"/>
              <w:bottom w:type="dxa" w:w="100"/>
              <w:right w:type="dxa" w:w="120"/>
            </w:tcMar>
            <w:vAlign w:val="center"/>
          </w:tcPr>
          <w:p>
            <w:r>
              <w:rPr>
                <w:b/>
                <w:bCs/>
                <w:color w:val="FFFFFF"/>
                <w:sz w:val="19"/>
                <w:szCs w:val="19"/>
              </w:rPr>
              <w:t xml:space="preserve">Avg. CAC</w:t>
            </w:r>
          </w:p>
        </w:tc>
      </w:tr>
      <w:tr>
        <w:tc>
          <w:tcPr>
            <w:tcW w:type="dxa" w:w="2600"/>
            <w:shd w:fill="FFFFFF" w:val="clear"/>
            <w:tcMar>
              <w:top w:type="dxa" w:w="90"/>
              <w:left w:type="dxa" w:w="120"/>
              <w:bottom w:type="dxa" w:w="90"/>
              <w:right w:type="dxa" w:w="120"/>
            </w:tcMar>
            <w:vAlign w:val="center"/>
          </w:tcPr>
          <w:p>
            <w:r>
              <w:rPr>
                <w:color w:val="222222"/>
                <w:sz w:val="19"/>
                <w:szCs w:val="19"/>
              </w:rPr>
              <w:t xml:space="preserve">TechCorp</w:t>
            </w:r>
          </w:p>
        </w:tc>
        <w:tc>
          <w:tcPr>
            <w:tcW w:type="dxa" w:w="1400"/>
            <w:shd w:fill="FFFFFF" w:val="clear"/>
            <w:tcMar>
              <w:top w:type="dxa" w:w="90"/>
              <w:left w:type="dxa" w:w="120"/>
              <w:bottom w:type="dxa" w:w="90"/>
              <w:right w:type="dxa" w:w="120"/>
            </w:tcMar>
            <w:vAlign w:val="center"/>
          </w:tcPr>
          <w:p>
            <w:r>
              <w:rPr>
                <w:color w:val="222222"/>
                <w:sz w:val="19"/>
                <w:szCs w:val="19"/>
              </w:rPr>
              <w:t xml:space="preserve">420</w:t>
            </w:r>
          </w:p>
        </w:tc>
        <w:tc>
          <w:tcPr>
            <w:tcW w:type="dxa" w:w="1600"/>
            <w:shd w:fill="FFFFFF" w:val="clear"/>
            <w:tcMar>
              <w:top w:type="dxa" w:w="90"/>
              <w:left w:type="dxa" w:w="120"/>
              <w:bottom w:type="dxa" w:w="90"/>
              <w:right w:type="dxa" w:w="120"/>
            </w:tcMar>
            <w:vAlign w:val="center"/>
          </w:tcPr>
          <w:p>
            <w:r>
              <w:rPr>
                <w:color w:val="222222"/>
                <w:sz w:val="19"/>
                <w:szCs w:val="19"/>
              </w:rPr>
              <w:t xml:space="preserve">$5.26M</w:t>
            </w:r>
          </w:p>
        </w:tc>
        <w:tc>
          <w:tcPr>
            <w:tcW w:type="dxa" w:w="1400"/>
            <w:shd w:fill="FFFFFF" w:val="clear"/>
            <w:tcMar>
              <w:top w:type="dxa" w:w="90"/>
              <w:left w:type="dxa" w:w="120"/>
              <w:bottom w:type="dxa" w:w="90"/>
              <w:right w:type="dxa" w:w="120"/>
            </w:tcMar>
            <w:vAlign w:val="center"/>
          </w:tcPr>
          <w:p>
            <w:r>
              <w:rPr>
                <w:color w:val="222222"/>
                <w:sz w:val="19"/>
                <w:szCs w:val="19"/>
              </w:rPr>
              <w:t xml:space="preserve">5.18x</w:t>
            </w:r>
          </w:p>
        </w:tc>
        <w:tc>
          <w:tcPr>
            <w:tcW w:type="dxa" w:w="1500"/>
            <w:shd w:fill="FFFFFF" w:val="clear"/>
            <w:tcMar>
              <w:top w:type="dxa" w:w="90"/>
              <w:left w:type="dxa" w:w="120"/>
              <w:bottom w:type="dxa" w:w="90"/>
              <w:right w:type="dxa" w:w="120"/>
            </w:tcMar>
            <w:vAlign w:val="center"/>
          </w:tcPr>
          <w:p>
            <w:r>
              <w:rPr>
                <w:color w:val="222222"/>
                <w:sz w:val="19"/>
                <w:szCs w:val="19"/>
              </w:rPr>
              <w:t xml:space="preserve">55.2%</w:t>
            </w:r>
          </w:p>
        </w:tc>
        <w:tc>
          <w:tcPr>
            <w:tcW w:type="dxa" w:w="1860"/>
            <w:shd w:fill="FFFFFF" w:val="clear"/>
            <w:tcMar>
              <w:top w:type="dxa" w:w="90"/>
              <w:left w:type="dxa" w:w="120"/>
              <w:bottom w:type="dxa" w:w="90"/>
              <w:right w:type="dxa" w:w="120"/>
            </w:tcMar>
            <w:vAlign w:val="center"/>
          </w:tcPr>
          <w:p>
            <w:r>
              <w:rPr>
                <w:color w:val="222222"/>
                <w:sz w:val="19"/>
                <w:szCs w:val="19"/>
              </w:rPr>
              <w:t xml:space="preserve">$578</w:t>
            </w:r>
          </w:p>
        </w:tc>
      </w:tr>
      <w:tr>
        <w:tc>
          <w:tcPr>
            <w:tcW w:type="dxa" w:w="2600"/>
            <w:shd w:fill="F5F7FA" w:val="clear"/>
            <w:tcMar>
              <w:top w:type="dxa" w:w="90"/>
              <w:left w:type="dxa" w:w="120"/>
              <w:bottom w:type="dxa" w:w="90"/>
              <w:right w:type="dxa" w:w="120"/>
            </w:tcMar>
            <w:vAlign w:val="center"/>
          </w:tcPr>
          <w:p>
            <w:r>
              <w:rPr>
                <w:color w:val="222222"/>
                <w:sz w:val="19"/>
                <w:szCs w:val="19"/>
              </w:rPr>
              <w:t xml:space="preserve">Alpha Innovations</w:t>
            </w:r>
          </w:p>
        </w:tc>
        <w:tc>
          <w:tcPr>
            <w:tcW w:type="dxa" w:w="1400"/>
            <w:shd w:fill="F5F7FA" w:val="clear"/>
            <w:tcMar>
              <w:top w:type="dxa" w:w="90"/>
              <w:left w:type="dxa" w:w="120"/>
              <w:bottom w:type="dxa" w:w="90"/>
              <w:right w:type="dxa" w:w="120"/>
            </w:tcMar>
            <w:vAlign w:val="center"/>
          </w:tcPr>
          <w:p>
            <w:r>
              <w:rPr>
                <w:color w:val="222222"/>
                <w:sz w:val="19"/>
                <w:szCs w:val="19"/>
              </w:rPr>
              <w:t xml:space="preserve">376</w:t>
            </w:r>
          </w:p>
        </w:tc>
        <w:tc>
          <w:tcPr>
            <w:tcW w:type="dxa" w:w="1600"/>
            <w:shd w:fill="F5F7FA" w:val="clear"/>
            <w:tcMar>
              <w:top w:type="dxa" w:w="90"/>
              <w:left w:type="dxa" w:w="120"/>
              <w:bottom w:type="dxa" w:w="90"/>
              <w:right w:type="dxa" w:w="120"/>
            </w:tcMar>
            <w:vAlign w:val="center"/>
          </w:tcPr>
          <w:p>
            <w:r>
              <w:rPr>
                <w:color w:val="222222"/>
                <w:sz w:val="19"/>
                <w:szCs w:val="19"/>
              </w:rPr>
              <w:t xml:space="preserve">$4.65M</w:t>
            </w:r>
          </w:p>
        </w:tc>
        <w:tc>
          <w:tcPr>
            <w:tcW w:type="dxa" w:w="1400"/>
            <w:shd w:fill="F5F7FA" w:val="clear"/>
            <w:tcMar>
              <w:top w:type="dxa" w:w="90"/>
              <w:left w:type="dxa" w:w="120"/>
              <w:bottom w:type="dxa" w:w="90"/>
              <w:right w:type="dxa" w:w="120"/>
            </w:tcMar>
            <w:vAlign w:val="center"/>
          </w:tcPr>
          <w:p>
            <w:r>
              <w:rPr>
                <w:color w:val="222222"/>
                <w:sz w:val="19"/>
                <w:szCs w:val="19"/>
              </w:rPr>
              <w:t xml:space="preserve">5.20x</w:t>
            </w:r>
          </w:p>
        </w:tc>
        <w:tc>
          <w:tcPr>
            <w:tcW w:type="dxa" w:w="1500"/>
            <w:shd w:fill="F5F7FA" w:val="clear"/>
            <w:tcMar>
              <w:top w:type="dxa" w:w="90"/>
              <w:left w:type="dxa" w:w="120"/>
              <w:bottom w:type="dxa" w:w="90"/>
              <w:right w:type="dxa" w:w="120"/>
            </w:tcMar>
            <w:vAlign w:val="center"/>
          </w:tcPr>
          <w:p>
            <w:r>
              <w:rPr>
                <w:color w:val="222222"/>
                <w:sz w:val="19"/>
                <w:szCs w:val="19"/>
              </w:rPr>
              <w:t xml:space="preserve">55.1%</w:t>
            </w:r>
          </w:p>
        </w:tc>
        <w:tc>
          <w:tcPr>
            <w:tcW w:type="dxa" w:w="1860"/>
            <w:shd w:fill="F5F7FA" w:val="clear"/>
            <w:tcMar>
              <w:top w:type="dxa" w:w="90"/>
              <w:left w:type="dxa" w:w="120"/>
              <w:bottom w:type="dxa" w:w="90"/>
              <w:right w:type="dxa" w:w="120"/>
            </w:tcMar>
            <w:vAlign w:val="center"/>
          </w:tcPr>
          <w:p>
            <w:r>
              <w:rPr>
                <w:color w:val="222222"/>
                <w:sz w:val="19"/>
                <w:szCs w:val="19"/>
              </w:rPr>
              <w:t xml:space="preserve">$687</w:t>
            </w:r>
          </w:p>
        </w:tc>
      </w:tr>
      <w:tr>
        <w:tc>
          <w:tcPr>
            <w:tcW w:type="dxa" w:w="2600"/>
            <w:shd w:fill="FFFFFF" w:val="clear"/>
            <w:tcMar>
              <w:top w:type="dxa" w:w="90"/>
              <w:left w:type="dxa" w:w="120"/>
              <w:bottom w:type="dxa" w:w="90"/>
              <w:right w:type="dxa" w:w="120"/>
            </w:tcMar>
            <w:vAlign w:val="center"/>
          </w:tcPr>
          <w:p>
            <w:r>
              <w:rPr>
                <w:color w:val="222222"/>
                <w:sz w:val="19"/>
                <w:szCs w:val="19"/>
              </w:rPr>
              <w:t xml:space="preserve">Innovate Industries</w:t>
            </w:r>
          </w:p>
        </w:tc>
        <w:tc>
          <w:tcPr>
            <w:tcW w:type="dxa" w:w="1400"/>
            <w:shd w:fill="FFFFFF" w:val="clear"/>
            <w:tcMar>
              <w:top w:type="dxa" w:w="90"/>
              <w:left w:type="dxa" w:w="120"/>
              <w:bottom w:type="dxa" w:w="90"/>
              <w:right w:type="dxa" w:w="120"/>
            </w:tcMar>
            <w:vAlign w:val="center"/>
          </w:tcPr>
          <w:p>
            <w:r>
              <w:rPr>
                <w:color w:val="222222"/>
                <w:sz w:val="19"/>
                <w:szCs w:val="19"/>
              </w:rPr>
              <w:t xml:space="preserve">424</w:t>
            </w:r>
          </w:p>
        </w:tc>
        <w:tc>
          <w:tcPr>
            <w:tcW w:type="dxa" w:w="1600"/>
            <w:shd w:fill="FFFFFF" w:val="clear"/>
            <w:tcMar>
              <w:top w:type="dxa" w:w="90"/>
              <w:left w:type="dxa" w:w="120"/>
              <w:bottom w:type="dxa" w:w="90"/>
              <w:right w:type="dxa" w:w="120"/>
            </w:tcMar>
            <w:vAlign w:val="center"/>
          </w:tcPr>
          <w:p>
            <w:r>
              <w:rPr>
                <w:color w:val="222222"/>
                <w:sz w:val="19"/>
                <w:szCs w:val="19"/>
              </w:rPr>
              <w:t xml:space="preserve">$5.23M</w:t>
            </w:r>
          </w:p>
        </w:tc>
        <w:tc>
          <w:tcPr>
            <w:tcW w:type="dxa" w:w="1400"/>
            <w:shd w:fill="FFFFFF" w:val="clear"/>
            <w:tcMar>
              <w:top w:type="dxa" w:w="90"/>
              <w:left w:type="dxa" w:w="120"/>
              <w:bottom w:type="dxa" w:w="90"/>
              <w:right w:type="dxa" w:w="120"/>
            </w:tcMar>
            <w:vAlign w:val="center"/>
          </w:tcPr>
          <w:p>
            <w:r>
              <w:rPr>
                <w:color w:val="222222"/>
                <w:sz w:val="19"/>
                <w:szCs w:val="19"/>
              </w:rPr>
              <w:t xml:space="preserve">5.11x</w:t>
            </w:r>
          </w:p>
        </w:tc>
        <w:tc>
          <w:tcPr>
            <w:tcW w:type="dxa" w:w="1500"/>
            <w:shd w:fill="FFFFFF" w:val="clear"/>
            <w:tcMar>
              <w:top w:type="dxa" w:w="90"/>
              <w:left w:type="dxa" w:w="120"/>
              <w:bottom w:type="dxa" w:w="90"/>
              <w:right w:type="dxa" w:w="120"/>
            </w:tcMar>
            <w:vAlign w:val="center"/>
          </w:tcPr>
          <w:p>
            <w:r>
              <w:rPr>
                <w:color w:val="222222"/>
                <w:sz w:val="19"/>
                <w:szCs w:val="19"/>
              </w:rPr>
              <w:t xml:space="preserve">52.8%</w:t>
            </w:r>
          </w:p>
        </w:tc>
        <w:tc>
          <w:tcPr>
            <w:tcW w:type="dxa" w:w="1860"/>
            <w:shd w:fill="FFFFFF" w:val="clear"/>
            <w:tcMar>
              <w:top w:type="dxa" w:w="90"/>
              <w:left w:type="dxa" w:w="120"/>
              <w:bottom w:type="dxa" w:w="90"/>
              <w:right w:type="dxa" w:w="120"/>
            </w:tcMar>
            <w:vAlign w:val="center"/>
          </w:tcPr>
          <w:p>
            <w:r>
              <w:rPr>
                <w:color w:val="222222"/>
                <w:sz w:val="19"/>
                <w:szCs w:val="19"/>
              </w:rPr>
              <w:t xml:space="preserve">$610</w:t>
            </w:r>
          </w:p>
        </w:tc>
      </w:tr>
      <w:tr>
        <w:tc>
          <w:tcPr>
            <w:tcW w:type="dxa" w:w="2600"/>
            <w:shd w:fill="F5F7FA" w:val="clear"/>
            <w:tcMar>
              <w:top w:type="dxa" w:w="90"/>
              <w:left w:type="dxa" w:w="120"/>
              <w:bottom w:type="dxa" w:w="90"/>
              <w:right w:type="dxa" w:w="120"/>
            </w:tcMar>
            <w:vAlign w:val="center"/>
          </w:tcPr>
          <w:p>
            <w:r>
              <w:rPr>
                <w:color w:val="222222"/>
                <w:sz w:val="19"/>
                <w:szCs w:val="19"/>
              </w:rPr>
              <w:t xml:space="preserve">NexGen Systems</w:t>
            </w:r>
          </w:p>
        </w:tc>
        <w:tc>
          <w:tcPr>
            <w:tcW w:type="dxa" w:w="1400"/>
            <w:shd w:fill="F5F7FA" w:val="clear"/>
            <w:tcMar>
              <w:top w:type="dxa" w:w="90"/>
              <w:left w:type="dxa" w:w="120"/>
              <w:bottom w:type="dxa" w:w="90"/>
              <w:right w:type="dxa" w:w="120"/>
            </w:tcMar>
            <w:vAlign w:val="center"/>
          </w:tcPr>
          <w:p>
            <w:r>
              <w:rPr>
                <w:color w:val="222222"/>
                <w:sz w:val="19"/>
                <w:szCs w:val="19"/>
              </w:rPr>
              <w:t xml:space="preserve">403</w:t>
            </w:r>
          </w:p>
        </w:tc>
        <w:tc>
          <w:tcPr>
            <w:tcW w:type="dxa" w:w="1600"/>
            <w:shd w:fill="F5F7FA" w:val="clear"/>
            <w:tcMar>
              <w:top w:type="dxa" w:w="90"/>
              <w:left w:type="dxa" w:w="120"/>
              <w:bottom w:type="dxa" w:w="90"/>
              <w:right w:type="dxa" w:w="120"/>
            </w:tcMar>
            <w:vAlign w:val="center"/>
          </w:tcPr>
          <w:p>
            <w:r>
              <w:rPr>
                <w:color w:val="222222"/>
                <w:sz w:val="19"/>
                <w:szCs w:val="19"/>
              </w:rPr>
              <w:t xml:space="preserve">$5.00M</w:t>
            </w:r>
          </w:p>
        </w:tc>
        <w:tc>
          <w:tcPr>
            <w:tcW w:type="dxa" w:w="1400"/>
            <w:shd w:fill="F5F7FA" w:val="clear"/>
            <w:tcMar>
              <w:top w:type="dxa" w:w="90"/>
              <w:left w:type="dxa" w:w="120"/>
              <w:bottom w:type="dxa" w:w="90"/>
              <w:right w:type="dxa" w:w="120"/>
            </w:tcMar>
            <w:vAlign w:val="center"/>
          </w:tcPr>
          <w:p>
            <w:r>
              <w:rPr>
                <w:color w:val="222222"/>
                <w:sz w:val="19"/>
                <w:szCs w:val="19"/>
              </w:rPr>
              <w:t xml:space="preserve">5.01x</w:t>
            </w:r>
          </w:p>
        </w:tc>
        <w:tc>
          <w:tcPr>
            <w:tcW w:type="dxa" w:w="1500"/>
            <w:shd w:fill="F5F7FA" w:val="clear"/>
            <w:tcMar>
              <w:top w:type="dxa" w:w="90"/>
              <w:left w:type="dxa" w:w="120"/>
              <w:bottom w:type="dxa" w:w="90"/>
              <w:right w:type="dxa" w:w="120"/>
            </w:tcMar>
            <w:vAlign w:val="center"/>
          </w:tcPr>
          <w:p>
            <w:r>
              <w:rPr>
                <w:color w:val="222222"/>
                <w:sz w:val="19"/>
                <w:szCs w:val="19"/>
              </w:rPr>
              <w:t xml:space="preserve">50.6%</w:t>
            </w:r>
          </w:p>
        </w:tc>
        <w:tc>
          <w:tcPr>
            <w:tcW w:type="dxa" w:w="1860"/>
            <w:shd w:fill="F5F7FA" w:val="clear"/>
            <w:tcMar>
              <w:top w:type="dxa" w:w="90"/>
              <w:left w:type="dxa" w:w="120"/>
              <w:bottom w:type="dxa" w:w="90"/>
              <w:right w:type="dxa" w:w="120"/>
            </w:tcMar>
            <w:vAlign w:val="center"/>
          </w:tcPr>
          <w:p>
            <w:r>
              <w:rPr>
                <w:color w:val="222222"/>
                <w:sz w:val="19"/>
                <w:szCs w:val="19"/>
              </w:rPr>
              <w:t xml:space="preserve">$611</w:t>
            </w:r>
          </w:p>
        </w:tc>
      </w:tr>
      <w:tr>
        <w:tc>
          <w:tcPr>
            <w:tcW w:type="dxa" w:w="2600"/>
            <w:shd w:fill="FFFFFF" w:val="clear"/>
            <w:tcMar>
              <w:top w:type="dxa" w:w="90"/>
              <w:left w:type="dxa" w:w="120"/>
              <w:bottom w:type="dxa" w:w="90"/>
              <w:right w:type="dxa" w:w="120"/>
            </w:tcMar>
            <w:vAlign w:val="center"/>
          </w:tcPr>
          <w:p>
            <w:r>
              <w:rPr>
                <w:color w:val="222222"/>
                <w:sz w:val="19"/>
                <w:szCs w:val="19"/>
              </w:rPr>
              <w:t xml:space="preserve">DataTech Solutions</w:t>
            </w:r>
          </w:p>
        </w:tc>
        <w:tc>
          <w:tcPr>
            <w:tcW w:type="dxa" w:w="1400"/>
            <w:shd w:fill="FFFFFF" w:val="clear"/>
            <w:tcMar>
              <w:top w:type="dxa" w:w="90"/>
              <w:left w:type="dxa" w:w="120"/>
              <w:bottom w:type="dxa" w:w="90"/>
              <w:right w:type="dxa" w:w="120"/>
            </w:tcMar>
            <w:vAlign w:val="center"/>
          </w:tcPr>
          <w:p>
            <w:r>
              <w:rPr>
                <w:color w:val="222222"/>
                <w:sz w:val="19"/>
                <w:szCs w:val="19"/>
              </w:rPr>
              <w:t xml:space="preserve">377</w:t>
            </w:r>
          </w:p>
        </w:tc>
        <w:tc>
          <w:tcPr>
            <w:tcW w:type="dxa" w:w="1600"/>
            <w:shd w:fill="FFFFFF" w:val="clear"/>
            <w:tcMar>
              <w:top w:type="dxa" w:w="90"/>
              <w:left w:type="dxa" w:w="120"/>
              <w:bottom w:type="dxa" w:w="90"/>
              <w:right w:type="dxa" w:w="120"/>
            </w:tcMar>
            <w:vAlign w:val="center"/>
          </w:tcPr>
          <w:p>
            <w:r>
              <w:rPr>
                <w:color w:val="222222"/>
                <w:sz w:val="19"/>
                <w:szCs w:val="19"/>
              </w:rPr>
              <w:t xml:space="preserve">$4.65M</w:t>
            </w:r>
          </w:p>
        </w:tc>
        <w:tc>
          <w:tcPr>
            <w:tcW w:type="dxa" w:w="1400"/>
            <w:shd w:fill="FFFFFF" w:val="clear"/>
            <w:tcMar>
              <w:top w:type="dxa" w:w="90"/>
              <w:left w:type="dxa" w:w="120"/>
              <w:bottom w:type="dxa" w:w="90"/>
              <w:right w:type="dxa" w:w="120"/>
            </w:tcMar>
            <w:vAlign w:val="center"/>
          </w:tcPr>
          <w:p>
            <w:r>
              <w:rPr>
                <w:color w:val="222222"/>
                <w:sz w:val="19"/>
                <w:szCs w:val="19"/>
              </w:rPr>
              <w:t xml:space="preserve">4.81x</w:t>
            </w:r>
          </w:p>
        </w:tc>
        <w:tc>
          <w:tcPr>
            <w:tcW w:type="dxa" w:w="1500"/>
            <w:shd w:fill="FFFFFF" w:val="clear"/>
            <w:tcMar>
              <w:top w:type="dxa" w:w="90"/>
              <w:left w:type="dxa" w:w="120"/>
              <w:bottom w:type="dxa" w:w="90"/>
              <w:right w:type="dxa" w:w="120"/>
            </w:tcMar>
            <w:vAlign w:val="center"/>
          </w:tcPr>
          <w:p>
            <w:r>
              <w:rPr>
                <w:color w:val="222222"/>
                <w:sz w:val="19"/>
                <w:szCs w:val="19"/>
              </w:rPr>
              <w:t xml:space="preserve">47.2%</w:t>
            </w:r>
          </w:p>
        </w:tc>
        <w:tc>
          <w:tcPr>
            <w:tcW w:type="dxa" w:w="1860"/>
            <w:shd w:fill="FFFFFF" w:val="clear"/>
            <w:tcMar>
              <w:top w:type="dxa" w:w="90"/>
              <w:left w:type="dxa" w:w="120"/>
              <w:bottom w:type="dxa" w:w="90"/>
              <w:right w:type="dxa" w:w="120"/>
            </w:tcMar>
            <w:vAlign w:val="center"/>
          </w:tcPr>
          <w:p>
            <w:r>
              <w:rPr>
                <w:color w:val="222222"/>
                <w:sz w:val="19"/>
                <w:szCs w:val="19"/>
              </w:rPr>
              <w:t xml:space="preserve">$600</w:t>
            </w:r>
          </w:p>
        </w:tc>
      </w:tr>
    </w:tbl>
    <w:p>
      <w:pPr>
        <w:spacing w:after="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43200"/>
                    </a:xfrm>
                    <a:prstGeom prst="rect">
                      <a:avLst/>
                    </a:prstGeom>
                  </pic:spPr>
                </pic:pic>
              </a:graphicData>
            </a:graphic>
          </wp:inline>
        </w:drawing>
      </w:r>
    </w:p>
    <w:p>
      <w:pPr>
        <w:spacing w:after="240" w:before="80"/>
        <w:jc w:val="center"/>
      </w:pPr>
      <w:r>
        <w:rPr>
          <w:i/>
          <w:iCs/>
          <w:color w:val="6B7280"/>
          <w:sz w:val="18"/>
          <w:szCs w:val="18"/>
        </w:rPr>
        <w:t xml:space="preserve">Figure 1. Total ad spend and average ROI by company.</w:t>
      </w:r>
    </w:p>
    <w:p>
      <w:pPr>
        <w:pStyle w:val="Heading1"/>
        <w:spacing w:after="160" w:before="360"/>
      </w:pPr>
      <w:r>
        <w:rPr>
          <w:b/>
          <w:bCs/>
          <w:color w:val="1F3A5F"/>
        </w:rPr>
        <w:t xml:space="preserve">Performance by Channel</w:t>
      </w:r>
    </w:p>
    <w:p>
      <w:pPr>
        <w:spacing w:after="160" w:line="300"/>
      </w:pPr>
      <w:r>
        <w:rPr>
          <w:color w:val="222222"/>
          <w:sz w:val="22"/>
          <w:szCs w:val="22"/>
        </w:rPr>
        <w:t xml:space="preserve">Facebook (5.22x) and YouTube (5.13x) lead on average ROI, and Facebook also has the highest profit rate of any channel at 57.1%. Website and Email sit at the bottom of the range, around 4.9x-4.97x. YouTube stands out for a different reason: it carries the highest customer acquisition cost of any channel at $705, meaning its ROI edge doesn't necessarily translate into the cheapest conversions.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400"/>
        <w:gridCol w:w="1500"/>
        <w:gridCol w:w="1860"/>
      </w:tblGrid>
      <w:tr>
        <w:trPr>
          <w:tblHeader/>
        </w:trPr>
        <w:tc>
          <w:tcPr>
            <w:tcW w:type="dxa" w:w="2200"/>
            <w:shd w:fill="1F3A5F" w:val="clear"/>
            <w:tcMar>
              <w:top w:type="dxa" w:w="100"/>
              <w:left w:type="dxa" w:w="120"/>
              <w:bottom w:type="dxa" w:w="100"/>
              <w:right w:type="dxa" w:w="120"/>
            </w:tcMar>
            <w:vAlign w:val="center"/>
          </w:tcPr>
          <w:p>
            <w:r>
              <w:rPr>
                <w:b/>
                <w:bCs/>
                <w:color w:val="FFFFFF"/>
                <w:sz w:val="19"/>
                <w:szCs w:val="19"/>
              </w:rPr>
              <w:t xml:space="preserve">Channel</w:t>
            </w:r>
          </w:p>
        </w:tc>
        <w:tc>
          <w:tcPr>
            <w:tcW w:type="dxa" w:w="1400"/>
            <w:shd w:fill="1F3A5F" w:val="clear"/>
            <w:tcMar>
              <w:top w:type="dxa" w:w="100"/>
              <w:left w:type="dxa" w:w="120"/>
              <w:bottom w:type="dxa" w:w="100"/>
              <w:right w:type="dxa" w:w="120"/>
            </w:tcMar>
            <w:vAlign w:val="center"/>
          </w:tcPr>
          <w:p>
            <w:r>
              <w:rPr>
                <w:b/>
                <w:bCs/>
                <w:color w:val="FFFFFF"/>
                <w:sz w:val="19"/>
                <w:szCs w:val="19"/>
              </w:rPr>
              <w:t xml:space="preserve">Campaigns</w:t>
            </w:r>
          </w:p>
        </w:tc>
        <w:tc>
          <w:tcPr>
            <w:tcW w:type="dxa" w:w="1600"/>
            <w:shd w:fill="1F3A5F" w:val="clear"/>
            <w:tcMar>
              <w:top w:type="dxa" w:w="100"/>
              <w:left w:type="dxa" w:w="120"/>
              <w:bottom w:type="dxa" w:w="100"/>
              <w:right w:type="dxa" w:w="120"/>
            </w:tcMar>
            <w:vAlign w:val="center"/>
          </w:tcPr>
          <w:p>
            <w:r>
              <w:rPr>
                <w:b/>
                <w:bCs/>
                <w:color w:val="FFFFFF"/>
                <w:sz w:val="19"/>
                <w:szCs w:val="19"/>
              </w:rPr>
              <w:t xml:space="preserve">Spend</w:t>
            </w:r>
          </w:p>
        </w:tc>
        <w:tc>
          <w:tcPr>
            <w:tcW w:type="dxa" w:w="1400"/>
            <w:shd w:fill="1F3A5F" w:val="clear"/>
            <w:tcMar>
              <w:top w:type="dxa" w:w="100"/>
              <w:left w:type="dxa" w:w="120"/>
              <w:bottom w:type="dxa" w:w="100"/>
              <w:right w:type="dxa" w:w="120"/>
            </w:tcMar>
            <w:vAlign w:val="center"/>
          </w:tcPr>
          <w:p>
            <w:r>
              <w:rPr>
                <w:b/>
                <w:bCs/>
                <w:color w:val="FFFFFF"/>
                <w:sz w:val="19"/>
                <w:szCs w:val="19"/>
              </w:rPr>
              <w:t xml:space="preserve">Avg. ROI</w:t>
            </w:r>
          </w:p>
        </w:tc>
        <w:tc>
          <w:tcPr>
            <w:tcW w:type="dxa" w:w="1500"/>
            <w:shd w:fill="1F3A5F" w:val="clear"/>
            <w:tcMar>
              <w:top w:type="dxa" w:w="100"/>
              <w:left w:type="dxa" w:w="120"/>
              <w:bottom w:type="dxa" w:w="100"/>
              <w:right w:type="dxa" w:w="120"/>
            </w:tcMar>
            <w:vAlign w:val="center"/>
          </w:tcPr>
          <w:p>
            <w:r>
              <w:rPr>
                <w:b/>
                <w:bCs/>
                <w:color w:val="FFFFFF"/>
                <w:sz w:val="19"/>
                <w:szCs w:val="19"/>
              </w:rPr>
              <w:t xml:space="preserve">Profit Rate</w:t>
            </w:r>
          </w:p>
        </w:tc>
        <w:tc>
          <w:tcPr>
            <w:tcW w:type="dxa" w:w="1860"/>
            <w:shd w:fill="1F3A5F" w:val="clear"/>
            <w:tcMar>
              <w:top w:type="dxa" w:w="100"/>
              <w:left w:type="dxa" w:w="120"/>
              <w:bottom w:type="dxa" w:w="100"/>
              <w:right w:type="dxa" w:w="120"/>
            </w:tcMar>
            <w:vAlign w:val="center"/>
          </w:tcPr>
          <w:p>
            <w:r>
              <w:rPr>
                <w:b/>
                <w:bCs/>
                <w:color w:val="FFFFFF"/>
                <w:sz w:val="19"/>
                <w:szCs w:val="19"/>
              </w:rPr>
              <w:t xml:space="preserve">Avg. CAC</w:t>
            </w:r>
          </w:p>
        </w:tc>
      </w:tr>
      <w:tr>
        <w:tc>
          <w:tcPr>
            <w:tcW w:type="dxa" w:w="2200"/>
            <w:shd w:fill="FFFFFF" w:val="clear"/>
            <w:tcMar>
              <w:top w:type="dxa" w:w="90"/>
              <w:left w:type="dxa" w:w="120"/>
              <w:bottom w:type="dxa" w:w="90"/>
              <w:right w:type="dxa" w:w="120"/>
            </w:tcMar>
            <w:vAlign w:val="center"/>
          </w:tcPr>
          <w:p>
            <w:r>
              <w:rPr>
                <w:color w:val="222222"/>
                <w:sz w:val="19"/>
                <w:szCs w:val="19"/>
              </w:rPr>
              <w:t xml:space="preserve">Facebook</w:t>
            </w:r>
          </w:p>
        </w:tc>
        <w:tc>
          <w:tcPr>
            <w:tcW w:type="dxa" w:w="1400"/>
            <w:shd w:fill="FFFFFF" w:val="clear"/>
            <w:tcMar>
              <w:top w:type="dxa" w:w="90"/>
              <w:left w:type="dxa" w:w="120"/>
              <w:bottom w:type="dxa" w:w="90"/>
              <w:right w:type="dxa" w:w="120"/>
            </w:tcMar>
            <w:vAlign w:val="center"/>
          </w:tcPr>
          <w:p>
            <w:r>
              <w:rPr>
                <w:color w:val="222222"/>
                <w:sz w:val="19"/>
                <w:szCs w:val="19"/>
              </w:rPr>
              <w:t xml:space="preserve">312</w:t>
            </w:r>
          </w:p>
        </w:tc>
        <w:tc>
          <w:tcPr>
            <w:tcW w:type="dxa" w:w="1600"/>
            <w:shd w:fill="FFFFFF" w:val="clear"/>
            <w:tcMar>
              <w:top w:type="dxa" w:w="90"/>
              <w:left w:type="dxa" w:w="120"/>
              <w:bottom w:type="dxa" w:w="90"/>
              <w:right w:type="dxa" w:w="120"/>
            </w:tcMar>
            <w:vAlign w:val="center"/>
          </w:tcPr>
          <w:p>
            <w:r>
              <w:rPr>
                <w:color w:val="222222"/>
                <w:sz w:val="19"/>
                <w:szCs w:val="19"/>
              </w:rPr>
              <w:t xml:space="preserve">$3.86M</w:t>
            </w:r>
          </w:p>
        </w:tc>
        <w:tc>
          <w:tcPr>
            <w:tcW w:type="dxa" w:w="1400"/>
            <w:shd w:fill="FFFFFF" w:val="clear"/>
            <w:tcMar>
              <w:top w:type="dxa" w:w="90"/>
              <w:left w:type="dxa" w:w="120"/>
              <w:bottom w:type="dxa" w:w="90"/>
              <w:right w:type="dxa" w:w="120"/>
            </w:tcMar>
            <w:vAlign w:val="center"/>
          </w:tcPr>
          <w:p>
            <w:r>
              <w:rPr>
                <w:color w:val="222222"/>
                <w:sz w:val="19"/>
                <w:szCs w:val="19"/>
              </w:rPr>
              <w:t xml:space="preserve">5.22x</w:t>
            </w:r>
          </w:p>
        </w:tc>
        <w:tc>
          <w:tcPr>
            <w:tcW w:type="dxa" w:w="1500"/>
            <w:shd w:fill="FFFFFF" w:val="clear"/>
            <w:tcMar>
              <w:top w:type="dxa" w:w="90"/>
              <w:left w:type="dxa" w:w="120"/>
              <w:bottom w:type="dxa" w:w="90"/>
              <w:right w:type="dxa" w:w="120"/>
            </w:tcMar>
            <w:vAlign w:val="center"/>
          </w:tcPr>
          <w:p>
            <w:r>
              <w:rPr>
                <w:color w:val="222222"/>
                <w:sz w:val="19"/>
                <w:szCs w:val="19"/>
              </w:rPr>
              <w:t xml:space="preserve">57.1%</w:t>
            </w:r>
          </w:p>
        </w:tc>
        <w:tc>
          <w:tcPr>
            <w:tcW w:type="dxa" w:w="1860"/>
            <w:shd w:fill="FFFFFF" w:val="clear"/>
            <w:tcMar>
              <w:top w:type="dxa" w:w="90"/>
              <w:left w:type="dxa" w:w="120"/>
              <w:bottom w:type="dxa" w:w="90"/>
              <w:right w:type="dxa" w:w="120"/>
            </w:tcMar>
            <w:vAlign w:val="center"/>
          </w:tcPr>
          <w:p>
            <w:r>
              <w:rPr>
                <w:color w:val="222222"/>
                <w:sz w:val="19"/>
                <w:szCs w:val="19"/>
              </w:rPr>
              <w:t xml:space="preserve">$616</w:t>
            </w:r>
          </w:p>
        </w:tc>
      </w:tr>
      <w:tr>
        <w:tc>
          <w:tcPr>
            <w:tcW w:type="dxa" w:w="2200"/>
            <w:shd w:fill="F5F7FA" w:val="clear"/>
            <w:tcMar>
              <w:top w:type="dxa" w:w="90"/>
              <w:left w:type="dxa" w:w="120"/>
              <w:bottom w:type="dxa" w:w="90"/>
              <w:right w:type="dxa" w:w="120"/>
            </w:tcMar>
            <w:vAlign w:val="center"/>
          </w:tcPr>
          <w:p>
            <w:r>
              <w:rPr>
                <w:color w:val="222222"/>
                <w:sz w:val="19"/>
                <w:szCs w:val="19"/>
              </w:rPr>
              <w:t xml:space="preserve">YouTube</w:t>
            </w:r>
          </w:p>
        </w:tc>
        <w:tc>
          <w:tcPr>
            <w:tcW w:type="dxa" w:w="1400"/>
            <w:shd w:fill="F5F7FA" w:val="clear"/>
            <w:tcMar>
              <w:top w:type="dxa" w:w="90"/>
              <w:left w:type="dxa" w:w="120"/>
              <w:bottom w:type="dxa" w:w="90"/>
              <w:right w:type="dxa" w:w="120"/>
            </w:tcMar>
            <w:vAlign w:val="center"/>
          </w:tcPr>
          <w:p>
            <w:r>
              <w:rPr>
                <w:color w:val="222222"/>
                <w:sz w:val="19"/>
                <w:szCs w:val="19"/>
              </w:rPr>
              <w:t xml:space="preserve">346</w:t>
            </w:r>
          </w:p>
        </w:tc>
        <w:tc>
          <w:tcPr>
            <w:tcW w:type="dxa" w:w="1600"/>
            <w:shd w:fill="F5F7FA" w:val="clear"/>
            <w:tcMar>
              <w:top w:type="dxa" w:w="90"/>
              <w:left w:type="dxa" w:w="120"/>
              <w:bottom w:type="dxa" w:w="90"/>
              <w:right w:type="dxa" w:w="120"/>
            </w:tcMar>
            <w:vAlign w:val="center"/>
          </w:tcPr>
          <w:p>
            <w:r>
              <w:rPr>
                <w:color w:val="222222"/>
                <w:sz w:val="19"/>
                <w:szCs w:val="19"/>
              </w:rPr>
              <w:t xml:space="preserve">$4.25M</w:t>
            </w:r>
          </w:p>
        </w:tc>
        <w:tc>
          <w:tcPr>
            <w:tcW w:type="dxa" w:w="1400"/>
            <w:shd w:fill="F5F7FA" w:val="clear"/>
            <w:tcMar>
              <w:top w:type="dxa" w:w="90"/>
              <w:left w:type="dxa" w:w="120"/>
              <w:bottom w:type="dxa" w:w="90"/>
              <w:right w:type="dxa" w:w="120"/>
            </w:tcMar>
            <w:vAlign w:val="center"/>
          </w:tcPr>
          <w:p>
            <w:r>
              <w:rPr>
                <w:color w:val="222222"/>
                <w:sz w:val="19"/>
                <w:szCs w:val="19"/>
              </w:rPr>
              <w:t xml:space="preserve">5.13x</w:t>
            </w:r>
          </w:p>
        </w:tc>
        <w:tc>
          <w:tcPr>
            <w:tcW w:type="dxa" w:w="1500"/>
            <w:shd w:fill="F5F7FA" w:val="clear"/>
            <w:tcMar>
              <w:top w:type="dxa" w:w="90"/>
              <w:left w:type="dxa" w:w="120"/>
              <w:bottom w:type="dxa" w:w="90"/>
              <w:right w:type="dxa" w:w="120"/>
            </w:tcMar>
            <w:vAlign w:val="center"/>
          </w:tcPr>
          <w:p>
            <w:r>
              <w:rPr>
                <w:color w:val="222222"/>
                <w:sz w:val="19"/>
                <w:szCs w:val="19"/>
              </w:rPr>
              <w:t xml:space="preserve">54.0%</w:t>
            </w:r>
          </w:p>
        </w:tc>
        <w:tc>
          <w:tcPr>
            <w:tcW w:type="dxa" w:w="1860"/>
            <w:shd w:fill="F5F7FA" w:val="clear"/>
            <w:tcMar>
              <w:top w:type="dxa" w:w="90"/>
              <w:left w:type="dxa" w:w="120"/>
              <w:bottom w:type="dxa" w:w="90"/>
              <w:right w:type="dxa" w:w="120"/>
            </w:tcMar>
            <w:vAlign w:val="center"/>
          </w:tcPr>
          <w:p>
            <w:r>
              <w:rPr>
                <w:color w:val="222222"/>
                <w:sz w:val="19"/>
                <w:szCs w:val="19"/>
              </w:rPr>
              <w:t xml:space="preserve">$705</w:t>
            </w:r>
          </w:p>
        </w:tc>
      </w:tr>
      <w:tr>
        <w:tc>
          <w:tcPr>
            <w:tcW w:type="dxa" w:w="2200"/>
            <w:shd w:fill="FFFFFF" w:val="clear"/>
            <w:tcMar>
              <w:top w:type="dxa" w:w="90"/>
              <w:left w:type="dxa" w:w="120"/>
              <w:bottom w:type="dxa" w:w="90"/>
              <w:right w:type="dxa" w:w="120"/>
            </w:tcMar>
            <w:vAlign w:val="center"/>
          </w:tcPr>
          <w:p>
            <w:r>
              <w:rPr>
                <w:color w:val="222222"/>
                <w:sz w:val="19"/>
                <w:szCs w:val="19"/>
              </w:rPr>
              <w:t xml:space="preserve">Google Ads</w:t>
            </w:r>
          </w:p>
        </w:tc>
        <w:tc>
          <w:tcPr>
            <w:tcW w:type="dxa" w:w="1400"/>
            <w:shd w:fill="FFFFFF" w:val="clear"/>
            <w:tcMar>
              <w:top w:type="dxa" w:w="90"/>
              <w:left w:type="dxa" w:w="120"/>
              <w:bottom w:type="dxa" w:w="90"/>
              <w:right w:type="dxa" w:w="120"/>
            </w:tcMar>
            <w:vAlign w:val="center"/>
          </w:tcPr>
          <w:p>
            <w:r>
              <w:rPr>
                <w:color w:val="222222"/>
                <w:sz w:val="19"/>
                <w:szCs w:val="19"/>
              </w:rPr>
              <w:t xml:space="preserve">307</w:t>
            </w:r>
          </w:p>
        </w:tc>
        <w:tc>
          <w:tcPr>
            <w:tcW w:type="dxa" w:w="1600"/>
            <w:shd w:fill="FFFFFF" w:val="clear"/>
            <w:tcMar>
              <w:top w:type="dxa" w:w="90"/>
              <w:left w:type="dxa" w:w="120"/>
              <w:bottom w:type="dxa" w:w="90"/>
              <w:right w:type="dxa" w:w="120"/>
            </w:tcMar>
            <w:vAlign w:val="center"/>
          </w:tcPr>
          <w:p>
            <w:r>
              <w:rPr>
                <w:color w:val="222222"/>
                <w:sz w:val="19"/>
                <w:szCs w:val="19"/>
              </w:rPr>
              <w:t xml:space="preserve">$3.83M</w:t>
            </w:r>
          </w:p>
        </w:tc>
        <w:tc>
          <w:tcPr>
            <w:tcW w:type="dxa" w:w="1400"/>
            <w:shd w:fill="FFFFFF" w:val="clear"/>
            <w:tcMar>
              <w:top w:type="dxa" w:w="90"/>
              <w:left w:type="dxa" w:w="120"/>
              <w:bottom w:type="dxa" w:w="90"/>
              <w:right w:type="dxa" w:w="120"/>
            </w:tcMar>
            <w:vAlign w:val="center"/>
          </w:tcPr>
          <w:p>
            <w:r>
              <w:rPr>
                <w:color w:val="222222"/>
                <w:sz w:val="19"/>
                <w:szCs w:val="19"/>
              </w:rPr>
              <w:t xml:space="preserve">5.12x</w:t>
            </w:r>
          </w:p>
        </w:tc>
        <w:tc>
          <w:tcPr>
            <w:tcW w:type="dxa" w:w="1500"/>
            <w:shd w:fill="FFFFFF" w:val="clear"/>
            <w:tcMar>
              <w:top w:type="dxa" w:w="90"/>
              <w:left w:type="dxa" w:w="120"/>
              <w:bottom w:type="dxa" w:w="90"/>
              <w:right w:type="dxa" w:w="120"/>
            </w:tcMar>
            <w:vAlign w:val="center"/>
          </w:tcPr>
          <w:p>
            <w:r>
              <w:rPr>
                <w:color w:val="222222"/>
                <w:sz w:val="19"/>
                <w:szCs w:val="19"/>
              </w:rPr>
              <w:t xml:space="preserve">52.4%</w:t>
            </w:r>
          </w:p>
        </w:tc>
        <w:tc>
          <w:tcPr>
            <w:tcW w:type="dxa" w:w="1860"/>
            <w:shd w:fill="FFFFFF" w:val="clear"/>
            <w:tcMar>
              <w:top w:type="dxa" w:w="90"/>
              <w:left w:type="dxa" w:w="120"/>
              <w:bottom w:type="dxa" w:w="90"/>
              <w:right w:type="dxa" w:w="120"/>
            </w:tcMar>
            <w:vAlign w:val="center"/>
          </w:tcPr>
          <w:p>
            <w:r>
              <w:rPr>
                <w:color w:val="222222"/>
                <w:sz w:val="19"/>
                <w:szCs w:val="19"/>
              </w:rPr>
              <w:t xml:space="preserve">$560</w:t>
            </w:r>
          </w:p>
        </w:tc>
      </w:tr>
      <w:tr>
        <w:tc>
          <w:tcPr>
            <w:tcW w:type="dxa" w:w="2200"/>
            <w:shd w:fill="F5F7FA" w:val="clear"/>
            <w:tcMar>
              <w:top w:type="dxa" w:w="90"/>
              <w:left w:type="dxa" w:w="120"/>
              <w:bottom w:type="dxa" w:w="90"/>
              <w:right w:type="dxa" w:w="120"/>
            </w:tcMar>
            <w:vAlign w:val="center"/>
          </w:tcPr>
          <w:p>
            <w:r>
              <w:rPr>
                <w:color w:val="222222"/>
                <w:sz w:val="19"/>
                <w:szCs w:val="19"/>
              </w:rPr>
              <w:t xml:space="preserve">Instagram</w:t>
            </w:r>
          </w:p>
        </w:tc>
        <w:tc>
          <w:tcPr>
            <w:tcW w:type="dxa" w:w="1400"/>
            <w:shd w:fill="F5F7FA" w:val="clear"/>
            <w:tcMar>
              <w:top w:type="dxa" w:w="90"/>
              <w:left w:type="dxa" w:w="120"/>
              <w:bottom w:type="dxa" w:w="90"/>
              <w:right w:type="dxa" w:w="120"/>
            </w:tcMar>
            <w:vAlign w:val="center"/>
          </w:tcPr>
          <w:p>
            <w:r>
              <w:rPr>
                <w:color w:val="222222"/>
                <w:sz w:val="19"/>
                <w:szCs w:val="19"/>
              </w:rPr>
              <w:t xml:space="preserve">370</w:t>
            </w:r>
          </w:p>
        </w:tc>
        <w:tc>
          <w:tcPr>
            <w:tcW w:type="dxa" w:w="1600"/>
            <w:shd w:fill="F5F7FA" w:val="clear"/>
            <w:tcMar>
              <w:top w:type="dxa" w:w="90"/>
              <w:left w:type="dxa" w:w="120"/>
              <w:bottom w:type="dxa" w:w="90"/>
              <w:right w:type="dxa" w:w="120"/>
            </w:tcMar>
            <w:vAlign w:val="center"/>
          </w:tcPr>
          <w:p>
            <w:r>
              <w:rPr>
                <w:color w:val="222222"/>
                <w:sz w:val="19"/>
                <w:szCs w:val="19"/>
              </w:rPr>
              <w:t xml:space="preserve">$4.61M</w:t>
            </w:r>
          </w:p>
        </w:tc>
        <w:tc>
          <w:tcPr>
            <w:tcW w:type="dxa" w:w="1400"/>
            <w:shd w:fill="F5F7FA" w:val="clear"/>
            <w:tcMar>
              <w:top w:type="dxa" w:w="90"/>
              <w:left w:type="dxa" w:w="120"/>
              <w:bottom w:type="dxa" w:w="90"/>
              <w:right w:type="dxa" w:w="120"/>
            </w:tcMar>
            <w:vAlign w:val="center"/>
          </w:tcPr>
          <w:p>
            <w:r>
              <w:rPr>
                <w:color w:val="222222"/>
                <w:sz w:val="19"/>
                <w:szCs w:val="19"/>
              </w:rPr>
              <w:t xml:space="preserve">5.02x</w:t>
            </w:r>
          </w:p>
        </w:tc>
        <w:tc>
          <w:tcPr>
            <w:tcW w:type="dxa" w:w="1500"/>
            <w:shd w:fill="F5F7FA" w:val="clear"/>
            <w:tcMar>
              <w:top w:type="dxa" w:w="90"/>
              <w:left w:type="dxa" w:w="120"/>
              <w:bottom w:type="dxa" w:w="90"/>
              <w:right w:type="dxa" w:w="120"/>
            </w:tcMar>
            <w:vAlign w:val="center"/>
          </w:tcPr>
          <w:p>
            <w:r>
              <w:rPr>
                <w:color w:val="222222"/>
                <w:sz w:val="19"/>
                <w:szCs w:val="19"/>
              </w:rPr>
              <w:t xml:space="preserve">50.8%</w:t>
            </w:r>
          </w:p>
        </w:tc>
        <w:tc>
          <w:tcPr>
            <w:tcW w:type="dxa" w:w="1860"/>
            <w:shd w:fill="F5F7FA" w:val="clear"/>
            <w:tcMar>
              <w:top w:type="dxa" w:w="90"/>
              <w:left w:type="dxa" w:w="120"/>
              <w:bottom w:type="dxa" w:w="90"/>
              <w:right w:type="dxa" w:w="120"/>
            </w:tcMar>
            <w:vAlign w:val="center"/>
          </w:tcPr>
          <w:p>
            <w:r>
              <w:rPr>
                <w:color w:val="222222"/>
                <w:sz w:val="19"/>
                <w:szCs w:val="19"/>
              </w:rPr>
              <w:t xml:space="preserve">$646</w:t>
            </w:r>
          </w:p>
        </w:tc>
      </w:tr>
      <w:tr>
        <w:tc>
          <w:tcPr>
            <w:tcW w:type="dxa" w:w="2200"/>
            <w:shd w:fill="FFFFFF" w:val="clear"/>
            <w:tcMar>
              <w:top w:type="dxa" w:w="90"/>
              <w:left w:type="dxa" w:w="120"/>
              <w:bottom w:type="dxa" w:w="90"/>
              <w:right w:type="dxa" w:w="120"/>
            </w:tcMar>
            <w:vAlign w:val="center"/>
          </w:tcPr>
          <w:p>
            <w:r>
              <w:rPr>
                <w:color w:val="222222"/>
                <w:sz w:val="19"/>
                <w:szCs w:val="19"/>
              </w:rPr>
              <w:t xml:space="preserve">Website</w:t>
            </w:r>
          </w:p>
        </w:tc>
        <w:tc>
          <w:tcPr>
            <w:tcW w:type="dxa" w:w="1400"/>
            <w:shd w:fill="FFFFFF" w:val="clear"/>
            <w:tcMar>
              <w:top w:type="dxa" w:w="90"/>
              <w:left w:type="dxa" w:w="120"/>
              <w:bottom w:type="dxa" w:w="90"/>
              <w:right w:type="dxa" w:w="120"/>
            </w:tcMar>
            <w:vAlign w:val="center"/>
          </w:tcPr>
          <w:p>
            <w:r>
              <w:rPr>
                <w:color w:val="222222"/>
                <w:sz w:val="19"/>
                <w:szCs w:val="19"/>
              </w:rPr>
              <w:t xml:space="preserve">295</w:t>
            </w:r>
          </w:p>
        </w:tc>
        <w:tc>
          <w:tcPr>
            <w:tcW w:type="dxa" w:w="1600"/>
            <w:shd w:fill="FFFFFF" w:val="clear"/>
            <w:tcMar>
              <w:top w:type="dxa" w:w="90"/>
              <w:left w:type="dxa" w:w="120"/>
              <w:bottom w:type="dxa" w:w="90"/>
              <w:right w:type="dxa" w:w="120"/>
            </w:tcMar>
            <w:vAlign w:val="center"/>
          </w:tcPr>
          <w:p>
            <w:r>
              <w:rPr>
                <w:color w:val="222222"/>
                <w:sz w:val="19"/>
                <w:szCs w:val="19"/>
              </w:rPr>
              <w:t xml:space="preserve">$3.69M</w:t>
            </w:r>
          </w:p>
        </w:tc>
        <w:tc>
          <w:tcPr>
            <w:tcW w:type="dxa" w:w="1400"/>
            <w:shd w:fill="FFFFFF" w:val="clear"/>
            <w:tcMar>
              <w:top w:type="dxa" w:w="90"/>
              <w:left w:type="dxa" w:w="120"/>
              <w:bottom w:type="dxa" w:w="90"/>
              <w:right w:type="dxa" w:w="120"/>
            </w:tcMar>
            <w:vAlign w:val="center"/>
          </w:tcPr>
          <w:p>
            <w:r>
              <w:rPr>
                <w:color w:val="222222"/>
                <w:sz w:val="19"/>
                <w:szCs w:val="19"/>
              </w:rPr>
              <w:t xml:space="preserve">4.95x</w:t>
            </w:r>
          </w:p>
        </w:tc>
        <w:tc>
          <w:tcPr>
            <w:tcW w:type="dxa" w:w="1500"/>
            <w:shd w:fill="FFFFFF" w:val="clear"/>
            <w:tcMar>
              <w:top w:type="dxa" w:w="90"/>
              <w:left w:type="dxa" w:w="120"/>
              <w:bottom w:type="dxa" w:w="90"/>
              <w:right w:type="dxa" w:w="120"/>
            </w:tcMar>
            <w:vAlign w:val="center"/>
          </w:tcPr>
          <w:p>
            <w:r>
              <w:rPr>
                <w:color w:val="222222"/>
                <w:sz w:val="19"/>
                <w:szCs w:val="19"/>
              </w:rPr>
              <w:t xml:space="preserve">50.8%</w:t>
            </w:r>
          </w:p>
        </w:tc>
        <w:tc>
          <w:tcPr>
            <w:tcW w:type="dxa" w:w="1860"/>
            <w:shd w:fill="FFFFFF" w:val="clear"/>
            <w:tcMar>
              <w:top w:type="dxa" w:w="90"/>
              <w:left w:type="dxa" w:w="120"/>
              <w:bottom w:type="dxa" w:w="90"/>
              <w:right w:type="dxa" w:w="120"/>
            </w:tcMar>
            <w:vAlign w:val="center"/>
          </w:tcPr>
          <w:p>
            <w:r>
              <w:rPr>
                <w:color w:val="222222"/>
                <w:sz w:val="19"/>
                <w:szCs w:val="19"/>
              </w:rPr>
              <w:t xml:space="preserve">$602</w:t>
            </w:r>
          </w:p>
        </w:tc>
      </w:tr>
      <w:tr>
        <w:tc>
          <w:tcPr>
            <w:tcW w:type="dxa" w:w="2200"/>
            <w:shd w:fill="F5F7FA" w:val="clear"/>
            <w:tcMar>
              <w:top w:type="dxa" w:w="90"/>
              <w:left w:type="dxa" w:w="120"/>
              <w:bottom w:type="dxa" w:w="90"/>
              <w:right w:type="dxa" w:w="120"/>
            </w:tcMar>
            <w:vAlign w:val="center"/>
          </w:tcPr>
          <w:p>
            <w:r>
              <w:rPr>
                <w:color w:val="222222"/>
                <w:sz w:val="19"/>
                <w:szCs w:val="19"/>
              </w:rPr>
              <w:t xml:space="preserve">Email</w:t>
            </w:r>
          </w:p>
        </w:tc>
        <w:tc>
          <w:tcPr>
            <w:tcW w:type="dxa" w:w="1400"/>
            <w:shd w:fill="F5F7FA" w:val="clear"/>
            <w:tcMar>
              <w:top w:type="dxa" w:w="90"/>
              <w:left w:type="dxa" w:w="120"/>
              <w:bottom w:type="dxa" w:w="90"/>
              <w:right w:type="dxa" w:w="120"/>
            </w:tcMar>
            <w:vAlign w:val="center"/>
          </w:tcPr>
          <w:p>
            <w:r>
              <w:rPr>
                <w:color w:val="222222"/>
                <w:sz w:val="19"/>
                <w:szCs w:val="19"/>
              </w:rPr>
              <w:t xml:space="preserve">370</w:t>
            </w:r>
          </w:p>
        </w:tc>
        <w:tc>
          <w:tcPr>
            <w:tcW w:type="dxa" w:w="1600"/>
            <w:shd w:fill="F5F7FA" w:val="clear"/>
            <w:tcMar>
              <w:top w:type="dxa" w:w="90"/>
              <w:left w:type="dxa" w:w="120"/>
              <w:bottom w:type="dxa" w:w="90"/>
              <w:right w:type="dxa" w:w="120"/>
            </w:tcMar>
            <w:vAlign w:val="center"/>
          </w:tcPr>
          <w:p>
            <w:r>
              <w:rPr>
                <w:color w:val="222222"/>
                <w:sz w:val="19"/>
                <w:szCs w:val="19"/>
              </w:rPr>
              <w:t xml:space="preserve">$4.56M</w:t>
            </w:r>
          </w:p>
        </w:tc>
        <w:tc>
          <w:tcPr>
            <w:tcW w:type="dxa" w:w="1400"/>
            <w:shd w:fill="F5F7FA" w:val="clear"/>
            <w:tcMar>
              <w:top w:type="dxa" w:w="90"/>
              <w:left w:type="dxa" w:w="120"/>
              <w:bottom w:type="dxa" w:w="90"/>
              <w:right w:type="dxa" w:w="120"/>
            </w:tcMar>
            <w:vAlign w:val="center"/>
          </w:tcPr>
          <w:p>
            <w:r>
              <w:rPr>
                <w:color w:val="222222"/>
                <w:sz w:val="19"/>
                <w:szCs w:val="19"/>
              </w:rPr>
              <w:t xml:space="preserve">4.97x</w:t>
            </w:r>
          </w:p>
        </w:tc>
        <w:tc>
          <w:tcPr>
            <w:tcW w:type="dxa" w:w="1500"/>
            <w:shd w:fill="F5F7FA" w:val="clear"/>
            <w:tcMar>
              <w:top w:type="dxa" w:w="90"/>
              <w:left w:type="dxa" w:w="120"/>
              <w:bottom w:type="dxa" w:w="90"/>
              <w:right w:type="dxa" w:w="120"/>
            </w:tcMar>
            <w:vAlign w:val="center"/>
          </w:tcPr>
          <w:p>
            <w:r>
              <w:rPr>
                <w:color w:val="222222"/>
                <w:sz w:val="19"/>
                <w:szCs w:val="19"/>
              </w:rPr>
              <w:t xml:space="preserve">48.9%</w:t>
            </w:r>
          </w:p>
        </w:tc>
        <w:tc>
          <w:tcPr>
            <w:tcW w:type="dxa" w:w="1860"/>
            <w:shd w:fill="F5F7FA" w:val="clear"/>
            <w:tcMar>
              <w:top w:type="dxa" w:w="90"/>
              <w:left w:type="dxa" w:w="120"/>
              <w:bottom w:type="dxa" w:w="90"/>
              <w:right w:type="dxa" w:w="120"/>
            </w:tcMar>
            <w:vAlign w:val="center"/>
          </w:tcPr>
          <w:p>
            <w:r>
              <w:rPr>
                <w:color w:val="222222"/>
                <w:sz w:val="19"/>
                <w:szCs w:val="19"/>
              </w:rPr>
              <w:t xml:space="preserve">$562</w:t>
            </w:r>
          </w:p>
        </w:tc>
      </w:tr>
    </w:tbl>
    <w:p>
      <w:pPr>
        <w:spacing w:after="0" w:before="12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62225"/>
                    </a:xfrm>
                    <a:prstGeom prst="rect">
                      <a:avLst/>
                    </a:prstGeom>
                  </pic:spPr>
                </pic:pic>
              </a:graphicData>
            </a:graphic>
          </wp:inline>
        </w:drawing>
      </w:r>
    </w:p>
    <w:p>
      <w:pPr>
        <w:spacing w:after="240" w:before="80"/>
        <w:jc w:val="center"/>
      </w:pPr>
      <w:r>
        <w:rPr>
          <w:i/>
          <w:iCs/>
          <w:color w:val="6B7280"/>
          <w:sz w:val="18"/>
          <w:szCs w:val="18"/>
        </w:rPr>
        <w:t xml:space="preserve">Figure 2. Average ROI by channel, ranked highest to lowest.</w:t>
      </w:r>
    </w:p>
    <w:p>
      <w:pPr>
        <w:pStyle w:val="Heading1"/>
        <w:spacing w:after="160" w:before="360"/>
      </w:pPr>
      <w:r>
        <w:rPr>
          <w:b/>
          <w:bCs/>
          <w:color w:val="1F3A5F"/>
        </w:rPr>
        <w:t xml:space="preserve">Performance by Campaign Type and Audience</w:t>
      </w:r>
    </w:p>
    <w:p>
      <w:pPr>
        <w:pStyle w:val="Heading2"/>
        <w:spacing w:after="120" w:before="260"/>
      </w:pPr>
      <w:r>
        <w:rPr>
          <w:b/>
          <w:bCs/>
          <w:color w:val="1F3A5F"/>
        </w:rPr>
        <w:t xml:space="preserve">Campaign type</w:t>
      </w:r>
    </w:p>
    <w:p>
      <w:pPr>
        <w:spacing w:after="160" w:line="300"/>
      </w:pPr>
      <w:r>
        <w:rPr>
          <w:color w:val="222222"/>
          <w:sz w:val="22"/>
          <w:szCs w:val="22"/>
        </w:rPr>
        <w:t xml:space="preserve">Social Media (5.16x avg. ROI, 53.9% profit rate) and Influencer (5.11x, 54.8%) campaigns outperform Search, Display, and Email, though the gap between the best and worst campaign type is under 3.5%, small enough that it likely doesn't justify a major reallocation on its own.</w:t>
      </w:r>
    </w:p>
    <w:p>
      <w:pPr>
        <w:spacing w:after="0" w:before="12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62225"/>
                    </a:xfrm>
                    <a:prstGeom prst="rect">
                      <a:avLst/>
                    </a:prstGeom>
                  </pic:spPr>
                </pic:pic>
              </a:graphicData>
            </a:graphic>
          </wp:inline>
        </w:drawing>
      </w:r>
    </w:p>
    <w:p>
      <w:pPr>
        <w:spacing w:after="240" w:before="80"/>
        <w:jc w:val="center"/>
      </w:pPr>
      <w:r>
        <w:rPr>
          <w:i/>
          <w:iCs/>
          <w:color w:val="6B7280"/>
          <w:sz w:val="18"/>
          <w:szCs w:val="18"/>
        </w:rPr>
        <w:t xml:space="preserve">Figure 3. Share of campaigns ending in profit, by campaign type.</w:t>
      </w:r>
    </w:p>
    <w:p>
      <w:pPr>
        <w:pStyle w:val="Heading2"/>
        <w:spacing w:after="120" w:before="260"/>
      </w:pPr>
      <w:r>
        <w:rPr>
          <w:b/>
          <w:bCs/>
          <w:color w:val="1F3A5F"/>
        </w:rPr>
        <w:t xml:space="preserve">Target audience</w:t>
      </w:r>
    </w:p>
    <w:p>
      <w:pPr>
        <w:spacing w:after="160" w:line="300"/>
      </w:pPr>
      <w:r>
        <w:rPr>
          <w:color w:val="222222"/>
          <w:sz w:val="22"/>
          <w:szCs w:val="22"/>
        </w:rPr>
        <w:t xml:space="preserve">Men 18-24 is the standout audience segment, with the highest average ROI (5.23x) and the highest profit rate at 57.7%, about 10 points above the lowest-performing segment, Women 25-34 (47.8%). Women 35-44 is a close second on both measures. Men 25-34 and Women 25-34 trail the field.</w:t>
      </w:r>
    </w:p>
    <w:p>
      <w:pPr>
        <w:pStyle w:val="Heading2"/>
        <w:spacing w:after="120" w:before="260"/>
      </w:pPr>
      <w:r>
        <w:rPr>
          <w:b/>
          <w:bCs/>
          <w:color w:val="1F3A5F"/>
        </w:rPr>
        <w:t xml:space="preserve">Customer segment and traffic source</w:t>
      </w:r>
    </w:p>
    <w:p>
      <w:pPr>
        <w:spacing w:after="160" w:line="300"/>
      </w:pPr>
      <w:r>
        <w:rPr>
          <w:color w:val="222222"/>
          <w:sz w:val="22"/>
          <w:szCs w:val="22"/>
        </w:rPr>
        <w:t xml:space="preserve">Across the five customer segments (Health &amp; Wellness, Fashionistas, Outdoor Adventurers, Foodies, Tech Enthusiasts), differences are minor, all cluster within half a point of ROI. Tech Enthusiasts is the one segment worth watching, since it combines average spend with the lowest profit rate of the group (48.6%). By traffic source, organic and referral traffic both outperform paid and social traffic on ROI and profit rate, suggesting paid acquisition isn't buying better outcomes in this dataset, just more volume.</w:t>
      </w:r>
    </w:p>
    <w:p>
      <w:pPr>
        <w:pStyle w:val="Heading1"/>
        <w:spacing w:after="160" w:before="360"/>
      </w:pPr>
      <w:r>
        <w:rPr>
          <w:b/>
          <w:bCs/>
          <w:color w:val="1F3A5F"/>
        </w:rPr>
        <w:t xml:space="preserve">ROI Trend Over 2021</w:t>
      </w:r>
    </w:p>
    <w:p>
      <w:pPr>
        <w:spacing w:after="160" w:line="300"/>
      </w:pPr>
      <w:r>
        <w:rPr>
          <w:color w:val="222222"/>
          <w:sz w:val="22"/>
          <w:szCs w:val="22"/>
        </w:rPr>
        <w:t xml:space="preserve">Average ROI held steady across the year, moving in a tight band between about 4.97x and 5.22x with no clear seasonal pattern. October and December were the strongest months; January and September the softest. Given the narrow range, this looks like normal variation rather than a meaningful trend.</w:t>
      </w:r>
    </w:p>
    <w:p>
      <w:pPr>
        <w:spacing w:after="0" w:before="12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38400"/>
                    </a:xfrm>
                    <a:prstGeom prst="rect">
                      <a:avLst/>
                    </a:prstGeom>
                  </pic:spPr>
                </pic:pic>
              </a:graphicData>
            </a:graphic>
          </wp:inline>
        </w:drawing>
      </w:r>
    </w:p>
    <w:p>
      <w:pPr>
        <w:spacing w:after="240" w:before="80"/>
        <w:jc w:val="center"/>
      </w:pPr>
      <w:r>
        <w:rPr>
          <w:i/>
          <w:iCs/>
          <w:color w:val="6B7280"/>
          <w:sz w:val="18"/>
          <w:szCs w:val="18"/>
        </w:rPr>
        <w:t xml:space="preserve">Figure 4. Average ROI by month, with the full-year average shown as a reference line.</w:t>
      </w:r>
    </w:p>
    <w:p>
      <w:pPr>
        <w:pStyle w:val="Heading1"/>
        <w:spacing w:after="160" w:before="360"/>
      </w:pPr>
      <w:r>
        <w:rPr>
          <w:b/>
          <w:bCs/>
          <w:color w:val="1F3A5F"/>
        </w:rPr>
        <w:t xml:space="preserve">What's Not Driving ROI</w:t>
      </w:r>
    </w:p>
    <w:p>
      <w:pPr>
        <w:spacing w:after="160" w:line="300"/>
      </w:pPr>
      <w:r>
        <w:rPr>
          <w:color w:val="222222"/>
          <w:sz w:val="22"/>
          <w:szCs w:val="22"/>
        </w:rPr>
        <w:t xml:space="preserve">It's worth being direct about what the data does not show. We checked ROI against every numeric field available, page views, session duration, bounce rate, time on page, previous visits, conversion rate, clicks, impressions, engagement score, and acquisition cost, and none of them correlate with ROI in any meaningful way (all correlation coefficients fell between -0.02 and 0.04). In practical terms, campaigns with high engagement or strong on-page behavior weren't more likely to deliver a strong ROI than campaigns without it.</w:t>
      </w:r>
    </w:p>
    <w:p>
      <w:pPr>
        <w:spacing w:after="160" w:line="300"/>
      </w:pPr>
      <w:r>
        <w:rPr>
          <w:color w:val="222222"/>
          <w:sz w:val="22"/>
          <w:szCs w:val="22"/>
        </w:rPr>
        <w:t xml:space="preserve">This matters for how the rest of the report should be read. The company, channel, and audience differences above are real but modest, and the absence of any stronger internal driver suggests ROI in this dataset may be influenced by factors outside what was captured here (creative quality, timing, competitive dynamics) or, if this data was generated for practice/demo purposes, by design. Either way, we'd recommend validating these patterns against a live, production dataset before using them to guide actual budget decisions.</w:t>
      </w:r>
    </w:p>
    <w:p>
      <w:pPr>
        <w:pStyle w:val="Heading1"/>
        <w:spacing w:after="160" w:before="360"/>
      </w:pPr>
      <w:r>
        <w:rPr>
          <w:b/>
          <w:bCs/>
          <w:color w:val="1F3A5F"/>
        </w:rPr>
        <w:t xml:space="preserve">Recommendations</w:t>
      </w:r>
    </w:p>
    <w:p>
      <w:pPr>
        <w:pStyle w:val="ListParagraph"/>
        <w:numPr>
          <w:ilvl w:val="0"/>
          <w:numId w:val="1"/>
        </w:numPr>
        <w:spacing w:after="90"/>
      </w:pPr>
      <w:r>
        <w:rPr>
          <w:color w:val="222222"/>
          <w:sz w:val="22"/>
          <w:szCs w:val="22"/>
        </w:rPr>
        <w:t xml:space="preserve">Shift incremental budget toward Facebook and YouTube, and toward Social Media and Influencer campaign types, where ROI and profit rate are consistently a few points ahead of the rest.</w:t>
      </w:r>
    </w:p>
    <w:p>
      <w:pPr>
        <w:pStyle w:val="ListParagraph"/>
        <w:numPr>
          <w:ilvl w:val="0"/>
          <w:numId w:val="1"/>
        </w:numPr>
        <w:spacing w:after="90"/>
      </w:pPr>
      <w:r>
        <w:rPr>
          <w:color w:val="222222"/>
          <w:sz w:val="22"/>
          <w:szCs w:val="22"/>
        </w:rPr>
        <w:t xml:space="preserve">Prioritize the Men 18-24 audience where feasible. It's the strongest-performing segment by a real margin, particularly on profit rate.</w:t>
      </w:r>
    </w:p>
    <w:p>
      <w:pPr>
        <w:pStyle w:val="ListParagraph"/>
        <w:numPr>
          <w:ilvl w:val="0"/>
          <w:numId w:val="1"/>
        </w:numPr>
        <w:spacing w:after="90"/>
      </w:pPr>
      <w:r>
        <w:rPr>
          <w:color w:val="222222"/>
          <w:sz w:val="22"/>
          <w:szCs w:val="22"/>
        </w:rPr>
        <w:t xml:space="preserve">Investigate YouTube's acquisition cost. Its ROI is strong but its CAC ($705) is the highest of any channel, so the margin on each conversion is worth checking against the other top channels.</w:t>
      </w:r>
    </w:p>
    <w:p>
      <w:pPr>
        <w:pStyle w:val="ListParagraph"/>
        <w:numPr>
          <w:ilvl w:val="0"/>
          <w:numId w:val="1"/>
        </w:numPr>
        <w:spacing w:after="90"/>
      </w:pPr>
      <w:r>
        <w:rPr>
          <w:color w:val="222222"/>
          <w:sz w:val="22"/>
          <w:szCs w:val="22"/>
        </w:rPr>
        <w:t xml:space="preserve">Treat paid and social traffic sourcing as a volume play, not an efficiency play. Organic and referral traffic outperformed them on both ROI and profit rate here.</w:t>
      </w:r>
    </w:p>
    <w:p>
      <w:pPr>
        <w:pStyle w:val="ListParagraph"/>
        <w:numPr>
          <w:ilvl w:val="0"/>
          <w:numId w:val="1"/>
        </w:numPr>
        <w:spacing w:after="90"/>
      </w:pPr>
      <w:r>
        <w:rPr>
          <w:color w:val="222222"/>
          <w:sz w:val="22"/>
          <w:szCs w:val="22"/>
        </w:rPr>
        <w:t xml:space="preserve">Before acting on the company or segment rankings, confirm this dataset reflects live production data rather than a synthetic or sample set. The near-zero correlation between engagement and ROI is unusual enough to warrant a second look at data provenance.</w:t>
      </w:r>
    </w:p>
    <w:p>
      <w:pPr>
        <w:pStyle w:val="Heading1"/>
        <w:spacing w:after="160" w:before="360"/>
      </w:pPr>
      <w:r>
        <w:rPr>
          <w:b/>
          <w:bCs/>
          <w:color w:val="1F3A5F"/>
        </w:rPr>
        <w:t xml:space="preserve">Data Notes</w:t>
      </w:r>
    </w:p>
    <w:p>
      <w:pPr>
        <w:spacing w:after="160" w:line="300"/>
      </w:pPr>
      <w:r>
        <w:rPr>
          <w:color w:val="222222"/>
          <w:sz w:val="22"/>
          <w:szCs w:val="22"/>
        </w:rPr>
        <w:t xml:space="preserve">This analysis merges two source tables on Campaign_ID: web-behavior data (page views, session duration, bounce rate, time on page) and campaign data (company, channel, spend, ROI, audience). A few data quality items are worth flagging for anyone extending this analysis:</w:t>
      </w:r>
    </w:p>
    <w:p>
      <w:pPr>
        <w:pStyle w:val="ListParagraph"/>
        <w:numPr>
          <w:ilvl w:val="0"/>
          <w:numId w:val="1"/>
        </w:numPr>
        <w:spacing w:after="90"/>
      </w:pPr>
      <w:r>
        <w:rPr>
          <w:color w:val="222222"/>
          <w:sz w:val="22"/>
          <w:szCs w:val="22"/>
        </w:rPr>
        <w:t xml:space="preserve">The CSV contains two differently-scaled 'conversion rate' columns. The one from the web-behavior table is essentially constant (over 88% of rows equal 1.0) and was not used for the channel/audience conversion figures in this report; those use the campaign-level Conversion_Rate field instead.</w:t>
      </w:r>
    </w:p>
    <w:p>
      <w:pPr>
        <w:pStyle w:val="ListParagraph"/>
        <w:numPr>
          <w:ilvl w:val="0"/>
          <w:numId w:val="1"/>
        </w:numPr>
        <w:spacing w:after="90"/>
      </w:pPr>
      <w:r>
        <w:rPr>
          <w:color w:val="222222"/>
          <w:sz w:val="22"/>
          <w:szCs w:val="22"/>
        </w:rPr>
        <w:t xml:space="preserve">Acquisition cost was originally stored as a formatted string (e.g., "$16,174.00") and was converted to numeric for all calculations.</w:t>
      </w:r>
    </w:p>
    <w:p>
      <w:pPr>
        <w:pStyle w:val="ListParagraph"/>
        <w:numPr>
          <w:ilvl w:val="0"/>
          <w:numId w:val="1"/>
        </w:numPr>
        <w:spacing w:after="90"/>
      </w:pPr>
      <w:r>
        <w:rPr>
          <w:color w:val="222222"/>
          <w:sz w:val="22"/>
          <w:szCs w:val="22"/>
        </w:rPr>
        <w:t xml:space="preserve">CAC (customer acquisition cost) was derived as Acquisition_Cost divided by estimated conversions (Clicks x Conversion_Rate); it was not a field in the source data.</w:t>
      </w:r>
    </w:p>
    <w:p>
      <w:pPr>
        <w:pStyle w:val="ListParagraph"/>
        <w:numPr>
          <w:ilvl w:val="0"/>
          <w:numId w:val="1"/>
        </w:numPr>
        <w:spacing w:after="90"/>
      </w:pPr>
      <w:r>
        <w:rPr>
          <w:color w:val="222222"/>
          <w:sz w:val="22"/>
          <w:szCs w:val="22"/>
        </w:rPr>
        <w:t xml:space="preserve">No missing values or duplicate rows were found across the 2,000 merged records.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Marketing Campaign Performance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86aa4e625907a6c33436862147b4f743eb27f0.png"/><Relationship Id="rId10" Type="http://schemas.openxmlformats.org/officeDocument/2006/relationships/image" Target="media/4713898c89c417cd3c2d7b925a1250c53b846783.png"/><Relationship Id="rId11" Type="http://schemas.openxmlformats.org/officeDocument/2006/relationships/image" Target="media/e1f8039161acec6f58919dc51f70d1a1913f8155.png"/><Relationship Id="rId12" Type="http://schemas.openxmlformats.org/officeDocument/2006/relationships/image" Target="media/5adb5d80e5b7af01353a72f5e6c0684c8bcb71e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2026-09-04T18:06:14.963Z</dcterms:created>
  <dcterms:modified xsi:type="dcterms:W3CDTF">2026-09-04T18:06:14.974Z</dcterms:modified>
</cp:coreProperties>
</file>

<file path=docProps/custom.xml><?xml version="1.0" encoding="utf-8"?>
<Properties xmlns="http://schemas.openxmlformats.org/officeDocument/2006/custom-properties" xmlns:vt="http://schemas.openxmlformats.org/officeDocument/2006/docPropsVTypes"/>
</file>