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6C16F">
      <w:r>
        <w:t>Product Features</w:t>
      </w:r>
    </w:p>
    <w:p w14:paraId="230BAAFD">
      <w:pPr>
        <w:shd w:val="clear" w:color="auto" w:fill="FFFFFF"/>
        <w:spacing w:before="100" w:beforeAutospacing="1" w:after="100" w:afterAutospacing="1" w:line="240" w:lineRule="auto"/>
        <w:rPr>
          <w:rFonts w:ascii="Arial" w:hAnsi="Arial" w:eastAsia="Times New Roman" w:cs="Arial"/>
          <w:color w:val="6F7074"/>
          <w:sz w:val="24"/>
          <w:szCs w:val="24"/>
        </w:rPr>
      </w:pPr>
      <w:r>
        <w:rPr>
          <w:rFonts w:ascii="Tahoma" w:hAnsi="Tahoma" w:eastAsia="Times New Roman" w:cs="Tahoma"/>
          <w:color w:val="6F7074"/>
          <w:sz w:val="24"/>
          <w:szCs w:val="24"/>
        </w:rPr>
        <w:t>Alfalah Karobar Finance offers Running Finance, LC, LG and other import and export related facilities against mortgage of residential/commercial property to SME customers for expanding their business volumes.</w:t>
      </w:r>
    </w:p>
    <w:p w14:paraId="2B3B1D3A">
      <w:pPr>
        <w:shd w:val="clear" w:color="auto" w:fill="FFFFFF"/>
        <w:spacing w:before="100" w:beforeAutospacing="1" w:after="100" w:afterAutospacing="1" w:line="240" w:lineRule="auto"/>
        <w:rPr>
          <w:rFonts w:ascii="Arial" w:hAnsi="Arial" w:eastAsia="Times New Roman" w:cs="Arial"/>
          <w:color w:val="6F7074"/>
          <w:sz w:val="24"/>
          <w:szCs w:val="24"/>
        </w:rPr>
      </w:pPr>
      <w:r>
        <w:rPr>
          <w:rFonts w:ascii="Tahoma" w:hAnsi="Tahoma" w:eastAsia="Times New Roman" w:cs="Tahoma"/>
          <w:b/>
          <w:bCs/>
          <w:color w:val="003366"/>
          <w:sz w:val="24"/>
          <w:szCs w:val="24"/>
          <w:u w:val="single"/>
        </w:rPr>
        <w:t>Product Features/Benefits:</w:t>
      </w:r>
    </w:p>
    <w:p w14:paraId="1C24A2CB">
      <w:pPr>
        <w:numPr>
          <w:ilvl w:val="0"/>
          <w:numId w:val="1"/>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No Hypothecation of current assets so no additional expense (insurance)</w:t>
      </w:r>
    </w:p>
    <w:p w14:paraId="53A969FE">
      <w:pPr>
        <w:numPr>
          <w:ilvl w:val="0"/>
          <w:numId w:val="1"/>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No need to adjust your full facility.</w:t>
      </w:r>
    </w:p>
    <w:p w14:paraId="09F7041B">
      <w:pPr>
        <w:numPr>
          <w:ilvl w:val="0"/>
          <w:numId w:val="1"/>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Up to 25% adjustment on semiannual basis.</w:t>
      </w:r>
    </w:p>
    <w:p w14:paraId="2BE1D1A2">
      <w:pPr>
        <w:numPr>
          <w:ilvl w:val="0"/>
          <w:numId w:val="1"/>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Monthly/Quarterly markup servicing</w:t>
      </w:r>
    </w:p>
    <w:p w14:paraId="49857318">
      <w:pPr>
        <w:numPr>
          <w:ilvl w:val="0"/>
          <w:numId w:val="1"/>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The financing amount ranges from 0.5 to 50 Million.</w:t>
      </w:r>
    </w:p>
    <w:p w14:paraId="17185B7E">
      <w:pPr>
        <w:numPr>
          <w:ilvl w:val="0"/>
          <w:numId w:val="1"/>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The financing tenure for the facility will be of 1 year.</w:t>
      </w:r>
    </w:p>
    <w:p w14:paraId="08888B54"/>
    <w:p w14:paraId="49580217">
      <w:r>
        <w:t>Product Types</w:t>
      </w:r>
    </w:p>
    <w:p w14:paraId="5E2AA1CE">
      <w:pPr>
        <w:rPr>
          <w:rFonts w:ascii="Tahoma" w:hAnsi="Tahoma" w:cs="Tahoma"/>
          <w:color w:val="6F7074"/>
          <w:shd w:val="clear" w:color="auto" w:fill="FFFFFF"/>
        </w:rPr>
      </w:pPr>
      <w:r>
        <w:rPr>
          <w:rFonts w:ascii="Tahoma" w:hAnsi="Tahoma" w:cs="Tahoma"/>
          <w:color w:val="6F7074"/>
          <w:shd w:val="clear" w:color="auto" w:fill="FFFFFF"/>
        </w:rPr>
        <w:t>Running Finance Facility</w:t>
      </w:r>
    </w:p>
    <w:p w14:paraId="06F71BE0">
      <w:pPr>
        <w:rPr>
          <w:rFonts w:ascii="Tahoma" w:hAnsi="Tahoma" w:cs="Tahoma"/>
          <w:color w:val="6F7074"/>
          <w:shd w:val="clear" w:color="auto" w:fill="FFFFFF"/>
        </w:rPr>
      </w:pPr>
    </w:p>
    <w:p w14:paraId="484794E5">
      <w:bookmarkStart w:id="0" w:name="_GoBack"/>
      <w:bookmarkEnd w:id="0"/>
      <w:r>
        <w:t>Eligibility Criteria</w:t>
      </w:r>
    </w:p>
    <w:p w14:paraId="1F7A49F3">
      <w:pPr>
        <w:numPr>
          <w:ilvl w:val="0"/>
          <w:numId w:val="2"/>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Applicant must be a Pakistani National Identity Card Holder.</w:t>
      </w:r>
    </w:p>
    <w:p w14:paraId="378E2147">
      <w:pPr>
        <w:numPr>
          <w:ilvl w:val="0"/>
          <w:numId w:val="2"/>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He/she should be between 23 and 60 years of age at the time of the application, subject to maximum age of 60 on maturity of finance.</w:t>
      </w:r>
    </w:p>
    <w:p w14:paraId="2CBFDE9C">
      <w:pPr>
        <w:numPr>
          <w:ilvl w:val="0"/>
          <w:numId w:val="2"/>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He/she must be running a business for at least 3 years with a satisfactory track record.</w:t>
      </w:r>
    </w:p>
    <w:p w14:paraId="0A122C79">
      <w:pPr>
        <w:numPr>
          <w:ilvl w:val="0"/>
          <w:numId w:val="2"/>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The security against the finance should be a mortgage of urban residential/commercial property(ies).</w:t>
      </w:r>
    </w:p>
    <w:p w14:paraId="0B2DA4BF">
      <w:pPr>
        <w:numPr>
          <w:ilvl w:val="0"/>
          <w:numId w:val="2"/>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Validity of the financing shall be initially for a period of one year.</w:t>
      </w:r>
    </w:p>
    <w:p w14:paraId="57934BB0">
      <w:pPr>
        <w:numPr>
          <w:ilvl w:val="0"/>
          <w:numId w:val="2"/>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Financing facility up to 70% of assessed market value of mortgaged property.</w:t>
      </w:r>
    </w:p>
    <w:p w14:paraId="63B22066">
      <w:pPr>
        <w:numPr>
          <w:ilvl w:val="0"/>
          <w:numId w:val="2"/>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3 times turnover of the limit assigned is required in the account.</w:t>
      </w:r>
    </w:p>
    <w:p w14:paraId="2E96002C">
      <w:r>
        <w:t>Documentation Required</w:t>
      </w:r>
    </w:p>
    <w:p w14:paraId="29AD6F8B">
      <w:pPr>
        <w:shd w:val="clear" w:color="auto" w:fill="FFFFFF"/>
        <w:spacing w:before="100" w:beforeAutospacing="1" w:after="100" w:afterAutospacing="1" w:line="240" w:lineRule="auto"/>
        <w:rPr>
          <w:rFonts w:ascii="Arial" w:hAnsi="Arial" w:eastAsia="Times New Roman" w:cs="Arial"/>
          <w:color w:val="6F7074"/>
          <w:sz w:val="24"/>
          <w:szCs w:val="24"/>
        </w:rPr>
      </w:pPr>
      <w:r>
        <w:rPr>
          <w:rFonts w:ascii="Tahoma" w:hAnsi="Tahoma" w:eastAsia="Times New Roman" w:cs="Tahoma"/>
          <w:b/>
          <w:bCs/>
          <w:color w:val="003366"/>
          <w:sz w:val="24"/>
          <w:szCs w:val="24"/>
          <w:u w:val="single"/>
        </w:rPr>
        <w:t>Personal Documents:</w:t>
      </w:r>
    </w:p>
    <w:p w14:paraId="086FC95B">
      <w:pPr>
        <w:numPr>
          <w:ilvl w:val="0"/>
          <w:numId w:val="3"/>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CNIC is to be verified through Verisys.</w:t>
      </w:r>
    </w:p>
    <w:p w14:paraId="3737FBAA">
      <w:pPr>
        <w:numPr>
          <w:ilvl w:val="0"/>
          <w:numId w:val="3"/>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Copy of any latest paid utility bill (preferably electricity) received at the residential address of the borrower.</w:t>
      </w:r>
    </w:p>
    <w:p w14:paraId="73791AFD">
      <w:pPr>
        <w:numPr>
          <w:ilvl w:val="0"/>
          <w:numId w:val="3"/>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Undertaking that the customer is not:   </w:t>
      </w:r>
    </w:p>
    <w:p w14:paraId="6C4B5AE2">
      <w:pPr>
        <w:numPr>
          <w:ilvl w:val="0"/>
          <w:numId w:val="3"/>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The director, major shareholder holding 5% or more of the share capital of the Bank, its Chief Executive or an employee or any family member of these persons is interested.</w:t>
      </w:r>
    </w:p>
    <w:p w14:paraId="51C4EEAE">
      <w:pPr>
        <w:shd w:val="clear" w:color="auto" w:fill="FFFFFF"/>
        <w:spacing w:before="100" w:beforeAutospacing="1" w:after="100" w:afterAutospacing="1" w:line="240" w:lineRule="auto"/>
        <w:rPr>
          <w:rFonts w:ascii="Arial" w:hAnsi="Arial" w:eastAsia="Times New Roman" w:cs="Arial"/>
          <w:color w:val="6F7074"/>
          <w:sz w:val="24"/>
          <w:szCs w:val="24"/>
        </w:rPr>
      </w:pPr>
      <w:r>
        <w:rPr>
          <w:rFonts w:ascii="Tahoma" w:hAnsi="Tahoma" w:eastAsia="Times New Roman" w:cs="Tahoma"/>
          <w:b/>
          <w:bCs/>
          <w:color w:val="003366"/>
          <w:sz w:val="24"/>
          <w:szCs w:val="24"/>
          <w:u w:val="single"/>
        </w:rPr>
        <w:t>Business Related Documents:</w:t>
      </w:r>
    </w:p>
    <w:p w14:paraId="2E766C0C">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Proprietorship declaration or Partnership deed (in case of partnership firms)</w:t>
      </w:r>
    </w:p>
    <w:p w14:paraId="51F6A469">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Memorandum and Article of Association</w:t>
      </w:r>
    </w:p>
    <w:p w14:paraId="1ACDC56F">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Copies of latest income tax returns and/or wealth statements, if available</w:t>
      </w:r>
    </w:p>
    <w:p w14:paraId="70D1C393">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Copy of title documents or rent agreement of business premises where property is rented</w:t>
      </w:r>
    </w:p>
    <w:p w14:paraId="75A0A0AA">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Copy of any latest paid utility bill (preferably electricity/telephone) received at business address</w:t>
      </w:r>
    </w:p>
    <w:p w14:paraId="69A87A2D">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Copy of current professional association/ trade body membership, if available</w:t>
      </w:r>
    </w:p>
    <w:p w14:paraId="22413812">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In case of limited companies, latest audited financials.</w:t>
      </w:r>
    </w:p>
    <w:p w14:paraId="4160CED8">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In SE cases with financing up to 15 m, financials signed by the borrower shall suffice. In ME cases for financing above 10 million audited financials shall be required. However, for cases 10M and below financials along with projected cash flows signed by the borrower shall be suffice.</w:t>
      </w:r>
    </w:p>
    <w:p w14:paraId="5EF72727">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Copy of certificate of registration of partnership if registered Partnership mandate</w:t>
      </w:r>
    </w:p>
    <w:p w14:paraId="7046C727">
      <w:pPr>
        <w:numPr>
          <w:ilvl w:val="0"/>
          <w:numId w:val="4"/>
        </w:numPr>
        <w:shd w:val="clear" w:color="auto" w:fill="FFFFFF"/>
        <w:spacing w:before="100" w:beforeAutospacing="1" w:after="100" w:afterAutospacing="1" w:line="240" w:lineRule="auto"/>
        <w:ind w:left="0"/>
        <w:rPr>
          <w:rFonts w:ascii="Arial" w:hAnsi="Arial" w:eastAsia="Times New Roman" w:cs="Arial"/>
          <w:color w:val="6F7074"/>
          <w:sz w:val="23"/>
          <w:szCs w:val="23"/>
        </w:rPr>
      </w:pPr>
      <w:r>
        <w:rPr>
          <w:rFonts w:ascii="Tahoma" w:hAnsi="Tahoma" w:eastAsia="Times New Roman" w:cs="Tahoma"/>
          <w:color w:val="6F7074"/>
          <w:sz w:val="24"/>
          <w:szCs w:val="24"/>
        </w:rPr>
        <w:t>In case of Pvt. Ltd. Company certificate of incorporation shall be obtained.</w:t>
      </w:r>
    </w:p>
    <w:p w14:paraId="3C99D223"/>
    <w:p w14:paraId="7612EC6A">
      <w:r>
        <w:t>Registration Process</w:t>
      </w:r>
    </w:p>
    <w:p w14:paraId="347A18E8">
      <w:pPr>
        <w:rPr>
          <w:rFonts w:ascii="Tahoma" w:hAnsi="Tahoma" w:cs="Tahoma"/>
          <w:color w:val="6F7074"/>
          <w:shd w:val="clear" w:color="auto" w:fill="FFFFFF"/>
        </w:rPr>
      </w:pPr>
      <w:r>
        <w:rPr>
          <w:rFonts w:ascii="Tahoma" w:hAnsi="Tahoma" w:cs="Tahoma"/>
          <w:color w:val="6F7074"/>
          <w:shd w:val="clear" w:color="auto" w:fill="FFFFFF"/>
        </w:rPr>
        <w:t>Visit nearest Bank Alfalah branch or call on our helpline</w:t>
      </w:r>
    </w:p>
    <w:p w14:paraId="3BCF20EA">
      <w:pPr>
        <w:rPr>
          <w:rFonts w:ascii="Tahoma" w:hAnsi="Tahoma" w:cs="Tahoma"/>
          <w:color w:val="6F7074"/>
          <w:shd w:val="clear" w:color="auto" w:fill="FFFFFF"/>
        </w:rPr>
      </w:pPr>
    </w:p>
    <w:p w14:paraId="74689D58">
      <w:pPr>
        <w:rPr>
          <w:rFonts w:ascii="Tahoma" w:hAnsi="Tahoma" w:cs="Tahoma"/>
          <w:color w:val="6F7074"/>
          <w:shd w:val="clear" w:color="auto" w:fill="FFFFFF"/>
        </w:rPr>
      </w:pPr>
      <w:r>
        <w:rPr>
          <w:rFonts w:ascii="Tahoma" w:hAnsi="Tahoma" w:cs="Tahoma"/>
          <w:color w:val="6F7074"/>
          <w:shd w:val="clear" w:color="auto" w:fill="FFFFFF"/>
        </w:rPr>
        <w:t>FAQs</w:t>
      </w:r>
    </w:p>
    <w:p w14:paraId="30952070">
      <w:pPr>
        <w:shd w:val="clear" w:color="auto" w:fill="FFFFFF"/>
        <w:spacing w:before="100" w:beforeAutospacing="1" w:after="100" w:afterAutospacing="1" w:line="240" w:lineRule="auto"/>
        <w:rPr>
          <w:rFonts w:ascii="Arial" w:hAnsi="Arial" w:eastAsia="Times New Roman" w:cs="Arial"/>
          <w:color w:val="6F7074"/>
          <w:sz w:val="24"/>
          <w:szCs w:val="24"/>
        </w:rPr>
      </w:pPr>
      <w:r>
        <w:rPr>
          <w:rFonts w:ascii="Tahoma" w:hAnsi="Tahoma" w:eastAsia="Times New Roman" w:cs="Tahoma"/>
          <w:b/>
          <w:bCs/>
          <w:color w:val="6F7074"/>
          <w:sz w:val="24"/>
          <w:szCs w:val="24"/>
        </w:rPr>
        <w:t>What kind of financing facility does the bank provide under AKF?</w:t>
      </w:r>
      <w:r>
        <w:rPr>
          <w:rFonts w:ascii="Tahoma" w:hAnsi="Tahoma" w:eastAsia="Times New Roman" w:cs="Tahoma"/>
          <w:b/>
          <w:bCs/>
          <w:color w:val="6F7074"/>
          <w:sz w:val="24"/>
          <w:szCs w:val="24"/>
        </w:rPr>
        <w:br w:type="textWrapping"/>
      </w:r>
      <w:r>
        <w:rPr>
          <w:rFonts w:ascii="Tahoma" w:hAnsi="Tahoma" w:eastAsia="Times New Roman" w:cs="Tahoma"/>
          <w:color w:val="6F7074"/>
          <w:sz w:val="24"/>
          <w:szCs w:val="24"/>
        </w:rPr>
        <w:t>It offers running finance, LG, LC and other import/export related facilities against mortgage of residential/commercial Property.</w:t>
      </w:r>
    </w:p>
    <w:p w14:paraId="7B20A6F3">
      <w:pPr>
        <w:shd w:val="clear" w:color="auto" w:fill="FFFFFF"/>
        <w:spacing w:before="100" w:beforeAutospacing="1" w:after="100" w:afterAutospacing="1" w:line="240" w:lineRule="auto"/>
        <w:rPr>
          <w:rFonts w:ascii="Arial" w:hAnsi="Arial" w:eastAsia="Times New Roman" w:cs="Arial"/>
          <w:color w:val="6F7074"/>
          <w:sz w:val="24"/>
          <w:szCs w:val="24"/>
        </w:rPr>
      </w:pPr>
      <w:r>
        <w:rPr>
          <w:rFonts w:ascii="Tahoma" w:hAnsi="Tahoma" w:eastAsia="Times New Roman" w:cs="Tahoma"/>
          <w:b/>
          <w:bCs/>
          <w:color w:val="6F7074"/>
          <w:sz w:val="24"/>
          <w:szCs w:val="24"/>
        </w:rPr>
        <w:t>What is the security that I’ll have to offer to avail AKF?</w:t>
      </w:r>
      <w:r>
        <w:rPr>
          <w:rFonts w:ascii="Tahoma" w:hAnsi="Tahoma" w:eastAsia="Times New Roman" w:cs="Tahoma"/>
          <w:b/>
          <w:bCs/>
          <w:color w:val="6F7074"/>
          <w:sz w:val="24"/>
          <w:szCs w:val="24"/>
        </w:rPr>
        <w:br w:type="textWrapping"/>
      </w:r>
      <w:r>
        <w:rPr>
          <w:rFonts w:ascii="Tahoma" w:hAnsi="Tahoma" w:eastAsia="Times New Roman" w:cs="Tahoma"/>
          <w:color w:val="6F7074"/>
          <w:sz w:val="24"/>
          <w:szCs w:val="24"/>
        </w:rPr>
        <w:t>Urban residential/commercial properties (third party collateral also permissible) along with personal guarantees of mortgagor/partners/directors.</w:t>
      </w:r>
    </w:p>
    <w:p w14:paraId="612D35A9">
      <w:pPr>
        <w:shd w:val="clear" w:color="auto" w:fill="FFFFFF"/>
        <w:spacing w:before="100" w:beforeAutospacing="1" w:after="100" w:afterAutospacing="1" w:line="240" w:lineRule="auto"/>
        <w:rPr>
          <w:rFonts w:ascii="Arial" w:hAnsi="Arial" w:eastAsia="Times New Roman" w:cs="Arial"/>
          <w:color w:val="6F7074"/>
          <w:sz w:val="24"/>
          <w:szCs w:val="24"/>
        </w:rPr>
      </w:pPr>
      <w:r>
        <w:rPr>
          <w:rFonts w:ascii="Tahoma" w:hAnsi="Tahoma" w:eastAsia="Times New Roman" w:cs="Tahoma"/>
          <w:b/>
          <w:bCs/>
          <w:color w:val="6F7074"/>
          <w:sz w:val="24"/>
          <w:szCs w:val="24"/>
        </w:rPr>
        <w:t>Is there any age restriction for availing AKF?</w:t>
      </w:r>
      <w:r>
        <w:rPr>
          <w:rFonts w:ascii="Tahoma" w:hAnsi="Tahoma" w:eastAsia="Times New Roman" w:cs="Tahoma"/>
          <w:b/>
          <w:bCs/>
          <w:color w:val="6F7074"/>
          <w:sz w:val="24"/>
          <w:szCs w:val="24"/>
        </w:rPr>
        <w:br w:type="textWrapping"/>
      </w:r>
      <w:r>
        <w:rPr>
          <w:rFonts w:ascii="Tahoma" w:hAnsi="Tahoma" w:eastAsia="Times New Roman" w:cs="Tahoma"/>
          <w:color w:val="6F7074"/>
          <w:sz w:val="24"/>
          <w:szCs w:val="24"/>
        </w:rPr>
        <w:t>Maximum age limit is 60 years for individuals/sole proprietors.</w:t>
      </w:r>
    </w:p>
    <w:p w14:paraId="23A1FF3E">
      <w:pPr>
        <w:shd w:val="clear" w:color="auto" w:fill="FFFFFF"/>
        <w:spacing w:before="100" w:beforeAutospacing="1" w:after="100" w:afterAutospacing="1" w:line="240" w:lineRule="auto"/>
        <w:rPr>
          <w:rFonts w:ascii="Arial" w:hAnsi="Arial" w:eastAsia="Times New Roman" w:cs="Arial"/>
          <w:color w:val="6F7074"/>
          <w:sz w:val="24"/>
          <w:szCs w:val="24"/>
        </w:rPr>
      </w:pPr>
      <w:r>
        <w:rPr>
          <w:rFonts w:ascii="Tahoma" w:hAnsi="Tahoma" w:eastAsia="Times New Roman" w:cs="Tahoma"/>
          <w:b/>
          <w:bCs/>
          <w:color w:val="6F7074"/>
          <w:sz w:val="24"/>
          <w:szCs w:val="24"/>
        </w:rPr>
        <w:t>What are renewal requirements?</w:t>
      </w:r>
      <w:r>
        <w:rPr>
          <w:rFonts w:ascii="Tahoma" w:hAnsi="Tahoma" w:eastAsia="Times New Roman" w:cs="Tahoma"/>
          <w:b/>
          <w:bCs/>
          <w:color w:val="6F7074"/>
          <w:sz w:val="24"/>
          <w:szCs w:val="24"/>
        </w:rPr>
        <w:br w:type="textWrapping"/>
      </w:r>
      <w:r>
        <w:rPr>
          <w:rFonts w:ascii="Tahoma" w:hAnsi="Tahoma" w:eastAsia="Times New Roman" w:cs="Tahoma"/>
          <w:color w:val="6F7074"/>
          <w:sz w:val="24"/>
          <w:szCs w:val="24"/>
        </w:rPr>
        <w:t>Renewals shall be subject to regular mark-up payments, clean-up requirements and healthy turnover in AKF account.</w:t>
      </w:r>
    </w:p>
    <w:p w14:paraId="18BA6A40">
      <w:pPr>
        <w:shd w:val="clear" w:color="auto" w:fill="FFFFFF"/>
        <w:spacing w:before="100" w:beforeAutospacing="1" w:after="100" w:afterAutospacing="1" w:line="240" w:lineRule="auto"/>
        <w:rPr>
          <w:rFonts w:ascii="Arial" w:hAnsi="Arial" w:eastAsia="Times New Roman" w:cs="Arial"/>
          <w:color w:val="6F7074"/>
          <w:sz w:val="24"/>
          <w:szCs w:val="24"/>
        </w:rPr>
      </w:pPr>
      <w:r>
        <w:rPr>
          <w:rFonts w:ascii="Tahoma" w:hAnsi="Tahoma" w:eastAsia="Times New Roman" w:cs="Tahoma"/>
          <w:b/>
          <w:bCs/>
          <w:color w:val="6F7074"/>
          <w:sz w:val="24"/>
          <w:szCs w:val="24"/>
        </w:rPr>
        <w:t>How is the loan entitlement calculated?</w:t>
      </w:r>
      <w:r>
        <w:rPr>
          <w:rFonts w:ascii="Tahoma" w:hAnsi="Tahoma" w:eastAsia="Times New Roman" w:cs="Tahoma"/>
          <w:b/>
          <w:bCs/>
          <w:color w:val="6F7074"/>
          <w:sz w:val="24"/>
          <w:szCs w:val="24"/>
        </w:rPr>
        <w:br w:type="textWrapping"/>
      </w:r>
      <w:r>
        <w:rPr>
          <w:rFonts w:ascii="Tahoma" w:hAnsi="Tahoma" w:eastAsia="Times New Roman" w:cs="Tahoma"/>
          <w:color w:val="6F7074"/>
          <w:sz w:val="24"/>
          <w:szCs w:val="24"/>
        </w:rPr>
        <w:t>Up to 70% of the assessed normal market value of the property and 3 times turnover of the limit assigned is required in the account.</w:t>
      </w:r>
    </w:p>
    <w:p w14:paraId="1F9BF3CE"/>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3DE59">
    <w:pPr>
      <w:pStyle w:val="4"/>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9594215</wp:posOffset>
              </wp:positionV>
              <wp:extent cx="7772400" cy="273050"/>
              <wp:effectExtent l="0" t="0" r="0" b="12700"/>
              <wp:wrapNone/>
              <wp:docPr id="1" name="MSIPCM077a438e8e916b2804f2f496" descr="{&quot;HashCode&quot;:191550567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wps:spPr>
                    <wps:txbx>
                      <w:txbxContent>
                        <w:p w14:paraId="2A71D81B">
                          <w:pPr>
                            <w:spacing w:after="0"/>
                            <w:rPr>
                              <w:rFonts w:ascii="Calibri" w:hAnsi="Calibri" w:cs="Calibri"/>
                              <w:color w:val="000000"/>
                              <w:sz w:val="14"/>
                            </w:rPr>
                          </w:pPr>
                          <w:r>
                            <w:rPr>
                              <w:rFonts w:ascii="Calibri" w:hAnsi="Calibri" w:cs="Calibri"/>
                              <w:color w:val="000000"/>
                              <w:sz w:val="14"/>
                            </w:rPr>
                            <w:t>[BAFL Document]</w:t>
                          </w:r>
                        </w:p>
                      </w:txbxContent>
                    </wps:txbx>
                    <wps:bodyPr rot="0" spcFirstLastPara="0" vertOverflow="overflow" horzOverflow="overflow" vert="horz" wrap="square" lIns="254000" tIns="0" rIns="91440" bIns="0" numCol="1" spcCol="0" rtlCol="0" fromWordArt="0" anchor="b" anchorCtr="0" forceAA="0" compatLnSpc="1">
                      <a:noAutofit/>
                    </wps:bodyPr>
                  </wps:wsp>
                </a:graphicData>
              </a:graphic>
            </wp:anchor>
          </w:drawing>
        </mc:Choice>
        <mc:Fallback>
          <w:pict>
            <v:shape id="MSIPCM077a438e8e916b2804f2f496" o:spid="_x0000_s1026" o:spt="202" alt="{&quot;HashCode&quot;:1915505678,&quot;Height&quot;:792.0,&quot;Width&quot;:612.0,&quot;Placement&quot;:&quot;Footer&quot;,&quot;Index&quot;:&quot;Primary&quot;,&quot;Section&quot;:1,&quot;Top&quot;:0.0,&quot;Left&quot;:0.0}" type="#_x0000_t202" style="position:absolute;left:0pt;margin-left:0pt;margin-top:755.45pt;height:21.5pt;width:612pt;mso-position-horizontal-relative:page;mso-position-vertical-relative:page;z-index:251659264;v-text-anchor:bottom;mso-width-relative:page;mso-height-relative:page;" filled="f" stroked="f" coordsize="21600,21600" o:allowincell="f" o:gfxdata="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AsxrYW2AAAAAsBAAAPAAAAAAAAAAEAIAAAACIAAABkcnMv&#10;ZG93bnJldi54bWxQSwECFAAUAAAACACHTuJAoZKfAK4CAABbBQAADgAAAAAAAAABACAAAAAnAQAA&#10;ZHJzL2Uyb0RvYy54bWxQSwUGAAAAAAYABgBZAQAARwYAAAAA&#10;">
              <v:fill on="f" focussize="0,0"/>
              <v:stroke on="f" weight="0.5pt"/>
              <v:imagedata o:title=""/>
              <o:lock v:ext="edit" aspectratio="f"/>
              <v:textbox inset="20pt,0mm,2.54mm,0mm">
                <w:txbxContent>
                  <w:p w14:paraId="2A71D81B">
                    <w:pPr>
                      <w:spacing w:after="0"/>
                      <w:rPr>
                        <w:rFonts w:ascii="Calibri" w:hAnsi="Calibri" w:cs="Calibri"/>
                        <w:color w:val="000000"/>
                        <w:sz w:val="14"/>
                      </w:rPr>
                    </w:pPr>
                    <w:r>
                      <w:rPr>
                        <w:rFonts w:ascii="Calibri" w:hAnsi="Calibri" w:cs="Calibri"/>
                        <w:color w:val="000000"/>
                        <w:sz w:val="14"/>
                      </w:rPr>
                      <w:t>[BAFL Document]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51DE8">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5EABD">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A1E51">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EBBB2">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870A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21876"/>
    <w:multiLevelType w:val="multilevel"/>
    <w:tmpl w:val="03A218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19702F"/>
    <w:multiLevelType w:val="multilevel"/>
    <w:tmpl w:val="041970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2A7DFE"/>
    <w:multiLevelType w:val="multilevel"/>
    <w:tmpl w:val="1D2A7D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44B660D"/>
    <w:multiLevelType w:val="multilevel"/>
    <w:tmpl w:val="644B66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605"/>
    <w:rsid w:val="0085159E"/>
    <w:rsid w:val="00B85605"/>
    <w:rsid w:val="77652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680"/>
        <w:tab w:val="right" w:pos="9360"/>
      </w:tabs>
      <w:spacing w:after="0" w:line="240" w:lineRule="auto"/>
    </w:pPr>
  </w:style>
  <w:style w:type="paragraph" w:styleId="5">
    <w:name w:val="header"/>
    <w:basedOn w:val="1"/>
    <w:link w:val="8"/>
    <w:unhideWhenUsed/>
    <w:qFormat/>
    <w:uiPriority w:val="99"/>
    <w:pPr>
      <w:tabs>
        <w:tab w:val="center" w:pos="4680"/>
        <w:tab w:val="right" w:pos="9360"/>
      </w:tabs>
      <w:spacing w:after="0" w:line="240" w:lineRule="auto"/>
    </w:p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2"/>
    <w:qFormat/>
    <w:uiPriority w:val="22"/>
    <w:rPr>
      <w:b/>
      <w:bCs/>
    </w:rPr>
  </w:style>
  <w:style w:type="character" w:customStyle="1" w:styleId="8">
    <w:name w:val="Header Char"/>
    <w:basedOn w:val="2"/>
    <w:link w:val="5"/>
    <w:qFormat/>
    <w:uiPriority w:val="99"/>
  </w:style>
  <w:style w:type="character" w:customStyle="1" w:styleId="9">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514</Words>
  <Characters>2952</Characters>
  <Lines>25</Lines>
  <Paragraphs>7</Paragraphs>
  <TotalTime>2</TotalTime>
  <ScaleCrop>false</ScaleCrop>
  <LinksUpToDate>false</LinksUpToDate>
  <CharactersWithSpaces>3418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2024-09-27T06:24:00Z</dcterms:created>
  <dc:creator>Vivek Dilip Karacasia -25145</dc:creator>
  <cp:lastModifiedBy>Dell</cp:lastModifiedBy>
  <dcterms:modified xsi:type="dcterms:W3CDTF">2026-06-19T06:45:31Z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c76d5-45ba-4a63-8701-27a8aa3796e4_Enabled">
    <vt:lpwstr>true</vt:lpwstr>
  </property>
  <property fmtid="{D5CDD505-2E9C-101B-9397-08002B2CF9AE}" pid="3" name="MSIP_Label_4f2c76d5-45ba-4a63-8701-27a8aa3796e4_SetDate">
    <vt:lpwstr>2024-09-27T06:25:58Z</vt:lpwstr>
  </property>
  <property fmtid="{D5CDD505-2E9C-101B-9397-08002B2CF9AE}" pid="4" name="MSIP_Label_4f2c76d5-45ba-4a63-8701-27a8aa3796e4_Method">
    <vt:lpwstr>Standard</vt:lpwstr>
  </property>
  <property fmtid="{D5CDD505-2E9C-101B-9397-08002B2CF9AE}" pid="5" name="MSIP_Label_4f2c76d5-45ba-4a63-8701-27a8aa3796e4_Name">
    <vt:lpwstr>Policy Document</vt:lpwstr>
  </property>
  <property fmtid="{D5CDD505-2E9C-101B-9397-08002B2CF9AE}" pid="6" name="MSIP_Label_4f2c76d5-45ba-4a63-8701-27a8aa3796e4_SiteId">
    <vt:lpwstr>2b4fe597-5658-4fa0-888b-881e4da6b121</vt:lpwstr>
  </property>
  <property fmtid="{D5CDD505-2E9C-101B-9397-08002B2CF9AE}" pid="7" name="MSIP_Label_4f2c76d5-45ba-4a63-8701-27a8aa3796e4_ActionId">
    <vt:lpwstr>72b008f9-37fa-4f8d-ad60-0a25124523bd</vt:lpwstr>
  </property>
  <property fmtid="{D5CDD505-2E9C-101B-9397-08002B2CF9AE}" pid="8" name="MSIP_Label_4f2c76d5-45ba-4a63-8701-27a8aa3796e4_ContentBits">
    <vt:lpwstr>2</vt:lpwstr>
  </property>
  <property fmtid="{D5CDD505-2E9C-101B-9397-08002B2CF9AE}" pid="9" name="KSOTemplateDocerSaveRecord">
    <vt:lpwstr>eyJoZGlkIjoiZTc2ZmM5NmNlYjU1NWE1MzNmMmY5N2Q2ZDVjNmY4MTciLCJ1c2VySWQiOiI4ODEzODEyMzA3MDg0In0=</vt:lpwstr>
  </property>
  <property fmtid="{D5CDD505-2E9C-101B-9397-08002B2CF9AE}" pid="10" name="KSOProductBuildVer">
    <vt:lpwstr>1033-12.1.0.26880</vt:lpwstr>
  </property>
  <property fmtid="{D5CDD505-2E9C-101B-9397-08002B2CF9AE}" pid="11" name="ICV">
    <vt:lpwstr>9AB632C8DA77489687A6C3E69AF90BA2_12</vt:lpwstr>
  </property>
</Properties>
</file>