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340" w:rsidRPr="00667D4E" w:rsidRDefault="00667D4E">
      <w:pPr>
        <w:rPr>
          <w:b/>
        </w:rPr>
      </w:pPr>
      <w:r w:rsidRPr="00667D4E">
        <w:rPr>
          <w:b/>
        </w:rPr>
        <w:t>Product Features</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color w:val="6F7074"/>
          <w:sz w:val="24"/>
          <w:szCs w:val="24"/>
        </w:rPr>
        <w:t>Alfalah Islamic Profex Account (AIPA) is a tier-based foreign currency savings account. The product would deliver profit to both large and medium sized depositors. The product shall offer higher profit rates for higher balances with convenient accessibility of funds and no transaction limits. The profit for AIPA shall be calculated on monthly average balance basis and paid out monthly.</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b/>
          <w:bCs/>
          <w:color w:val="003366"/>
          <w:sz w:val="24"/>
          <w:szCs w:val="24"/>
          <w:u w:val="single"/>
        </w:rPr>
        <w:t>Product Features/ Benefits:</w:t>
      </w:r>
    </w:p>
    <w:p w:rsidR="00667D4E" w:rsidRPr="00667D4E" w:rsidRDefault="00667D4E" w:rsidP="00667D4E">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Monthly Profit payments on monthly average balance basis</w:t>
      </w:r>
    </w:p>
    <w:p w:rsidR="00667D4E" w:rsidRPr="00667D4E" w:rsidRDefault="00667D4E" w:rsidP="00667D4E">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Available Currencies: USD, GBP &amp; Euro</w:t>
      </w:r>
    </w:p>
    <w:p w:rsidR="00667D4E" w:rsidRPr="00667D4E" w:rsidRDefault="00667D4E" w:rsidP="00667D4E">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Free E-Statements &amp; over- the - Counter Cash Deposit</w:t>
      </w:r>
    </w:p>
    <w:p w:rsidR="00667D4E" w:rsidRPr="00667D4E" w:rsidRDefault="00667D4E" w:rsidP="00667D4E">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Unlimited cash deposits and withdrawals</w:t>
      </w:r>
    </w:p>
    <w:p w:rsidR="00667D4E" w:rsidRPr="00667D4E" w:rsidRDefault="00667D4E" w:rsidP="00667D4E">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Tier- Based accounts</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b/>
          <w:bCs/>
          <w:color w:val="003366"/>
          <w:sz w:val="24"/>
          <w:szCs w:val="24"/>
          <w:u w:val="single"/>
        </w:rPr>
        <w:t>Unique Selling Points:</w:t>
      </w:r>
      <w:r w:rsidRPr="00667D4E">
        <w:rPr>
          <w:rFonts w:ascii="Tahoma" w:eastAsia="Times New Roman" w:hAnsi="Tahoma" w:cs="Tahoma"/>
          <w:b/>
          <w:bCs/>
          <w:color w:val="6F7074"/>
          <w:sz w:val="24"/>
          <w:szCs w:val="24"/>
          <w:u w:val="single"/>
        </w:rPr>
        <w:br/>
      </w:r>
    </w:p>
    <w:p w:rsidR="00667D4E" w:rsidRPr="00667D4E" w:rsidRDefault="00667D4E" w:rsidP="00667D4E">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Tier based Foreign currency saving account that lets you save with money profits and enjoy increased returns on higher balances</w:t>
      </w:r>
    </w:p>
    <w:p w:rsidR="00667D4E" w:rsidRPr="00667D4E" w:rsidRDefault="00667D4E" w:rsidP="00667D4E">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$5,000 / £5,000 / €5,000</w:t>
      </w:r>
    </w:p>
    <w:p w:rsidR="00667D4E" w:rsidRPr="00667D4E" w:rsidRDefault="00667D4E" w:rsidP="00667D4E">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No maximum balance limit</w:t>
      </w:r>
    </w:p>
    <w:p w:rsidR="00667D4E" w:rsidRPr="00667D4E" w:rsidRDefault="00667D4E" w:rsidP="00667D4E">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The profit for AIPA shall be calculated on monthly average balance basis and paid out monthly.</w:t>
      </w:r>
    </w:p>
    <w:p w:rsidR="00667D4E" w:rsidRPr="00667D4E" w:rsidRDefault="00667D4E" w:rsidP="00667D4E">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Nature of Account: Checking account</w:t>
      </w:r>
    </w:p>
    <w:p w:rsidR="00667D4E" w:rsidRPr="00667D4E" w:rsidRDefault="00667D4E" w:rsidP="00667D4E">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Minimum Balance Requirements for Profit Eligibility &amp; Account</w:t>
      </w:r>
    </w:p>
    <w:p w:rsidR="00667D4E" w:rsidRPr="00667D4E" w:rsidRDefault="00667D4E" w:rsidP="00667D4E">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Maintenance Charges: Ni</w:t>
      </w:r>
    </w:p>
    <w:p w:rsidR="00667D4E" w:rsidRPr="00667D4E" w:rsidRDefault="00667D4E" w:rsidP="00667D4E">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WHT: Will be deducted as per prevailing rules &amp; regulations.</w:t>
      </w:r>
    </w:p>
    <w:p w:rsidR="00667D4E" w:rsidRPr="00667D4E" w:rsidRDefault="00667D4E" w:rsidP="00667D4E">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Privileges/Charges: As per prevailing SOC​</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b/>
          <w:bCs/>
          <w:color w:val="003366"/>
          <w:sz w:val="24"/>
          <w:szCs w:val="24"/>
          <w:u w:val="single"/>
        </w:rPr>
        <w:t>Nature of Product &amp; Relationship:</w:t>
      </w:r>
      <w:r w:rsidRPr="00667D4E">
        <w:rPr>
          <w:rFonts w:ascii="Tahoma" w:eastAsia="Times New Roman" w:hAnsi="Tahoma" w:cs="Tahoma"/>
          <w:b/>
          <w:bCs/>
          <w:color w:val="6F7074"/>
          <w:sz w:val="24"/>
          <w:szCs w:val="24"/>
          <w:u w:val="single"/>
        </w:rPr>
        <w:br/>
      </w:r>
    </w:p>
    <w:p w:rsidR="00667D4E" w:rsidRPr="00667D4E" w:rsidRDefault="00667D4E" w:rsidP="00667D4E">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A profit bearing account based on the principles of Mudarabah. Bank shall share the profit on the basis of predetermined profit sharing ratio. Return on deposits will be based on predetermined weightages for each month or any interval decided by the bank and announced three working days before start of the month/decided interval.</w:t>
      </w:r>
    </w:p>
    <w:p w:rsidR="00667D4E" w:rsidRPr="00667D4E" w:rsidRDefault="00667D4E" w:rsidP="00667D4E">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A sheet containing Profit Sharing Ratio and Weightages information shall be available on Customer's demand and also be placed at the notice board of branches and on the website of the bank. </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color w:val="6F7074"/>
          <w:sz w:val="24"/>
          <w:szCs w:val="24"/>
        </w:rPr>
        <w:t>In the event of overall loss to the pool, all the investors of the pool shall share such loss proportionate to their investment.</w:t>
      </w:r>
    </w:p>
    <w:p w:rsidR="00667D4E" w:rsidRPr="00667D4E" w:rsidRDefault="00667D4E">
      <w:pPr>
        <w:rPr>
          <w:b/>
        </w:rPr>
      </w:pPr>
      <w:r w:rsidRPr="00667D4E">
        <w:rPr>
          <w:b/>
        </w:rPr>
        <w:lastRenderedPageBreak/>
        <w:t>Product Types</w:t>
      </w:r>
    </w:p>
    <w:tbl>
      <w:tblPr>
        <w:tblW w:w="216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547"/>
        <w:gridCol w:w="10747"/>
        <w:gridCol w:w="8306"/>
      </w:tblGrid>
      <w:tr w:rsidR="00667D4E" w:rsidRPr="00667D4E" w:rsidTr="00667D4E">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b/>
                <w:bCs/>
                <w:sz w:val="24"/>
                <w:szCs w:val="24"/>
              </w:rPr>
              <w:t>​</w:t>
            </w:r>
            <w:r w:rsidRPr="00667D4E">
              <w:rPr>
                <w:rFonts w:ascii="Tahoma" w:eastAsia="Times New Roman" w:hAnsi="Tahoma" w:cs="Tahoma"/>
                <w:b/>
                <w:bCs/>
                <w:color w:val="003366"/>
                <w:sz w:val="24"/>
                <w:szCs w:val="24"/>
              </w:rPr>
              <w:t>S. No.</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b/>
                <w:bCs/>
                <w:color w:val="003366"/>
                <w:sz w:val="24"/>
                <w:szCs w:val="24"/>
              </w:rPr>
              <w:t>                  Name</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jc w:val="center"/>
              <w:rPr>
                <w:rFonts w:ascii="Arial" w:eastAsia="Times New Roman" w:hAnsi="Arial" w:cs="Arial"/>
                <w:sz w:val="24"/>
                <w:szCs w:val="24"/>
              </w:rPr>
            </w:pPr>
            <w:r w:rsidRPr="00667D4E">
              <w:rPr>
                <w:rFonts w:ascii="Tahoma" w:eastAsia="Times New Roman" w:hAnsi="Tahoma" w:cs="Tahoma"/>
                <w:b/>
                <w:bCs/>
                <w:color w:val="003366"/>
                <w:sz w:val="24"/>
                <w:szCs w:val="24"/>
              </w:rPr>
              <w:t>Product Category / Code</w:t>
            </w:r>
          </w:p>
        </w:tc>
      </w:tr>
      <w:tr w:rsidR="00667D4E" w:rsidRPr="00667D4E" w:rsidTr="00667D4E">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sz w:val="24"/>
                <w:szCs w:val="24"/>
              </w:rPr>
              <w:t>1.</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sz w:val="24"/>
                <w:szCs w:val="24"/>
              </w:rPr>
              <w:t>Alfalah Islamic Profex Account (USD)</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b/>
                <w:bCs/>
                <w:sz w:val="24"/>
                <w:szCs w:val="24"/>
              </w:rPr>
              <w:t>           6860</w:t>
            </w:r>
          </w:p>
        </w:tc>
      </w:tr>
      <w:tr w:rsidR="00667D4E" w:rsidRPr="00667D4E" w:rsidTr="00667D4E">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sz w:val="24"/>
                <w:szCs w:val="24"/>
              </w:rPr>
              <w:t>2.</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sz w:val="24"/>
                <w:szCs w:val="24"/>
              </w:rPr>
              <w:t>Alfalah Islamic Profex Account (GBP)</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b/>
                <w:bCs/>
                <w:sz w:val="24"/>
                <w:szCs w:val="24"/>
              </w:rPr>
              <w:t>           6861</w:t>
            </w:r>
          </w:p>
        </w:tc>
      </w:tr>
      <w:tr w:rsidR="00667D4E" w:rsidRPr="00667D4E" w:rsidTr="00667D4E">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sz w:val="24"/>
                <w:szCs w:val="24"/>
              </w:rPr>
              <w:t>3.</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sz w:val="24"/>
                <w:szCs w:val="24"/>
              </w:rPr>
              <w:t>Alfalah Islamic Profex Account (Euro)</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667D4E" w:rsidRPr="00667D4E" w:rsidRDefault="00667D4E" w:rsidP="00667D4E">
            <w:pPr>
              <w:spacing w:before="100" w:beforeAutospacing="1" w:after="100" w:afterAutospacing="1" w:line="240" w:lineRule="auto"/>
              <w:rPr>
                <w:rFonts w:ascii="Arial" w:eastAsia="Times New Roman" w:hAnsi="Arial" w:cs="Arial"/>
                <w:sz w:val="24"/>
                <w:szCs w:val="24"/>
              </w:rPr>
            </w:pPr>
            <w:r w:rsidRPr="00667D4E">
              <w:rPr>
                <w:rFonts w:ascii="Tahoma" w:eastAsia="Times New Roman" w:hAnsi="Tahoma" w:cs="Tahoma"/>
                <w:b/>
                <w:bCs/>
                <w:sz w:val="24"/>
                <w:szCs w:val="24"/>
              </w:rPr>
              <w:t>           6862</w:t>
            </w:r>
          </w:p>
        </w:tc>
      </w:tr>
    </w:tbl>
    <w:p w:rsidR="00667D4E" w:rsidRDefault="00667D4E"/>
    <w:p w:rsidR="00667D4E" w:rsidRPr="00667D4E" w:rsidRDefault="00667D4E">
      <w:pPr>
        <w:rPr>
          <w:b/>
        </w:rPr>
      </w:pPr>
      <w:r w:rsidRPr="00667D4E">
        <w:rPr>
          <w:b/>
        </w:rPr>
        <w:t>Target Market</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color w:val="6F7074"/>
          <w:sz w:val="24"/>
          <w:szCs w:val="24"/>
        </w:rPr>
        <w:t>Alfalah Islamic Profex Account has been specifically designed for, but not limited to, the following:</w:t>
      </w:r>
    </w:p>
    <w:p w:rsidR="00667D4E" w:rsidRPr="00667D4E" w:rsidRDefault="00667D4E" w:rsidP="00667D4E">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Salaried individuals who invest in foreign currencies</w:t>
      </w:r>
    </w:p>
    <w:p w:rsidR="00667D4E" w:rsidRPr="00667D4E" w:rsidRDefault="00667D4E" w:rsidP="00667D4E">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High net monthly savers and income segment</w:t>
      </w:r>
    </w:p>
    <w:p w:rsidR="00667D4E" w:rsidRPr="00667D4E" w:rsidRDefault="00667D4E" w:rsidP="00667D4E">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Corporate</w:t>
      </w:r>
    </w:p>
    <w:p w:rsidR="00667D4E" w:rsidRPr="00667D4E" w:rsidRDefault="00667D4E" w:rsidP="00667D4E">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Traders</w:t>
      </w:r>
    </w:p>
    <w:p w:rsidR="00667D4E" w:rsidRPr="00667D4E" w:rsidRDefault="00667D4E" w:rsidP="00667D4E">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667D4E">
        <w:rPr>
          <w:rFonts w:ascii="Tahoma" w:eastAsia="Times New Roman" w:hAnsi="Tahoma" w:cs="Tahoma"/>
          <w:color w:val="6F7074"/>
          <w:sz w:val="24"/>
          <w:szCs w:val="24"/>
        </w:rPr>
        <w:t>SME/Commercial</w:t>
      </w:r>
    </w:p>
    <w:p w:rsidR="00667D4E" w:rsidRPr="00667D4E" w:rsidRDefault="00667D4E">
      <w:pPr>
        <w:rPr>
          <w:b/>
        </w:rPr>
      </w:pPr>
      <w:r w:rsidRPr="00667D4E">
        <w:rPr>
          <w:b/>
        </w:rPr>
        <w:t>Documentation Required</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color w:val="6F7074"/>
          <w:sz w:val="24"/>
          <w:szCs w:val="24"/>
        </w:rPr>
        <w:t>The product is based on the concept of “Mudarabah"</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b/>
          <w:bCs/>
          <w:color w:val="003366"/>
          <w:sz w:val="24"/>
          <w:szCs w:val="24"/>
          <w:u w:val="single"/>
        </w:rPr>
        <w:t>Definition of Mudarabah</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color w:val="6F7074"/>
          <w:sz w:val="24"/>
          <w:szCs w:val="24"/>
        </w:rPr>
        <w:t>Mudarabah is a special kind of partnership, where the Customer is the Rab-ul-Maal (owner of funds) and the Bank is the Mudarib (manager of the funds). The Bank as Mudarib may invest or disinvest, at its sole discretion, amounts/deposits received by it from the Customers in any of the businesses (businesses, transactions and products) of the Bank as it deems appropriate under the products and avenues approved by the Shari'ah Board of the Bank. Profit is shared according to profit sharing ratio and weightages. Loss, if any, is shared in proportion to the investment/deposit of each depositor."</w:t>
      </w:r>
    </w:p>
    <w:p w:rsidR="00667D4E" w:rsidRPr="00667D4E" w:rsidRDefault="00667D4E">
      <w:pPr>
        <w:rPr>
          <w:b/>
        </w:rPr>
      </w:pPr>
      <w:bookmarkStart w:id="0" w:name="_GoBack"/>
      <w:r w:rsidRPr="00667D4E">
        <w:rPr>
          <w:b/>
        </w:rPr>
        <w:t>Transactional Information</w:t>
      </w:r>
    </w:p>
    <w:bookmarkEnd w:id="0"/>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color w:val="6F7074"/>
          <w:sz w:val="24"/>
          <w:szCs w:val="24"/>
        </w:rPr>
        <w:t>• No restriction on number of withdrawals during a month.</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color w:val="6F7074"/>
          <w:sz w:val="24"/>
          <w:szCs w:val="24"/>
        </w:rPr>
        <w:t>• No restriction on the number of deposit transactions during a month.</w:t>
      </w:r>
    </w:p>
    <w:p w:rsidR="00667D4E" w:rsidRPr="00667D4E" w:rsidRDefault="00667D4E" w:rsidP="00667D4E">
      <w:pPr>
        <w:shd w:val="clear" w:color="auto" w:fill="FFFFFF"/>
        <w:spacing w:before="100" w:beforeAutospacing="1" w:after="100" w:afterAutospacing="1" w:line="240" w:lineRule="auto"/>
        <w:rPr>
          <w:rFonts w:ascii="Arial" w:eastAsia="Times New Roman" w:hAnsi="Arial" w:cs="Arial"/>
          <w:color w:val="6F7074"/>
          <w:sz w:val="24"/>
          <w:szCs w:val="24"/>
        </w:rPr>
      </w:pPr>
      <w:r w:rsidRPr="00667D4E">
        <w:rPr>
          <w:rFonts w:ascii="Tahoma" w:eastAsia="Times New Roman" w:hAnsi="Tahoma" w:cs="Tahoma"/>
          <w:color w:val="6F7074"/>
          <w:sz w:val="24"/>
          <w:szCs w:val="24"/>
        </w:rPr>
        <w:t>• Branches should ensure that all regulatory guidelines as mentioned in Foreign Exchange Manual of SBP are meticulously complied</w:t>
      </w:r>
    </w:p>
    <w:p w:rsidR="00667D4E" w:rsidRDefault="00667D4E"/>
    <w:sectPr w:rsidR="00667D4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304A" w:rsidRDefault="0077304A" w:rsidP="00667D4E">
      <w:pPr>
        <w:spacing w:after="0" w:line="240" w:lineRule="auto"/>
      </w:pPr>
      <w:r>
        <w:separator/>
      </w:r>
    </w:p>
  </w:endnote>
  <w:endnote w:type="continuationSeparator" w:id="0">
    <w:p w:rsidR="0077304A" w:rsidRDefault="0077304A" w:rsidP="00667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D4E" w:rsidRDefault="00667D4E">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9594215</wp:posOffset>
              </wp:positionV>
              <wp:extent cx="7772400" cy="273050"/>
              <wp:effectExtent l="0" t="0" r="0" b="12700"/>
              <wp:wrapNone/>
              <wp:docPr id="1" name="MSIPCMdd8e41fe8f90dbfb9a4ca953" descr="{&quot;HashCode&quot;:191550567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67D4E" w:rsidRPr="00667D4E" w:rsidRDefault="00667D4E" w:rsidP="00667D4E">
                          <w:pPr>
                            <w:spacing w:after="0"/>
                            <w:rPr>
                              <w:rFonts w:ascii="Calibri" w:hAnsi="Calibri" w:cs="Calibri"/>
                              <w:color w:val="000000"/>
                              <w:sz w:val="14"/>
                            </w:rPr>
                          </w:pPr>
                          <w:r w:rsidRPr="00667D4E">
                            <w:rPr>
                              <w:rFonts w:ascii="Calibri" w:hAnsi="Calibri" w:cs="Calibri"/>
                              <w:color w:val="000000"/>
                              <w:sz w:val="14"/>
                            </w:rPr>
                            <w:t>[BAFL Document]</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dd8e41fe8f90dbfb9a4ca953" o:spid="_x0000_s1026" type="#_x0000_t202" alt="{&quot;HashCode&quot;:1915505678,&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7g5HAMAADcGAAAOAAAAZHJzL2Uyb0RvYy54bWysVE1v1DwQviPxHywfOLFNss1+ZOkWtVst&#10;b6UFVtqinr2O00QkdrC93fRF/HceO05LgQNCXOzxzHg888zjOXvbNTW5F9pUSi5pchJTIiRXeSXv&#10;lvTTzXo0p8RYJnNWKymW9EEY+vb85YuzY7sQY1WqOheaIIg0i2O7pKW17SKKDC9Fw8yJaoWEsVC6&#10;YRZHfRflmh0RvamjcRxPo6PSeasVF8ZAe9Ub6bmPXxSC249FYYQl9ZIiN+tX7de9W6PzM7a406wt&#10;Kx7SYH+RRcMqiUcfQ10xy8hBV7+EaiqulVGFPeGqiVRRVFz4GlBNEv9Uza5krfC1ABzTPsJk/l1Y&#10;/uF+q0mVo3eUSNagRe9319vV+zyfizQpxLzI4nxf7DOWcpZNTinJheFA8OurLwdl3/zHTLlSuehP&#10;iyRLJpN4Mp3NXwe7qO5KG6yzbHwSB8Ntldsy6KfJk35bMy4aIYc7vctaKSt0L4cA1zIXXQjQb1td&#10;NUw/PPPagQLgZvBLwt0b1QZN/JjQRhTDm1B+c9Q4tmYBhHYtMLLdpeocTEFvoHQd7wrduB29JLCD&#10;ZA+PxBKdJRzK2Ww2TmOYOGzj2Wk88cyLnm632th3QjXECUuqkbXnE7vfGIsX4Tq4uMekWld17clb&#10;S3Jc0ukpQj6z4EYtnQZJIEaQelJ+zRLkcznORuvpfDZK1+lklM3i+ShOsstsGqdZerX+5uIl6aKs&#10;8lzITSXF8EGS9M8IGL5qT23/RZ6lalRd5a4Ol5urblVrcs/wU/fgwGcHNIr4wSt6no43o7ph91VG&#10;rmd9b5xku30XGrZX+QP6qBXwRStMy9cVHt0wY7dM49dDiUlmP2IpagVQVZAoKZX+/3d65w8sYKXk&#10;iCmypObLgWlBSX0t8U3HE7Qdca0/QdBeyJI0xWE/aOWhWSnUjT+ItLzofG09iIVWzS0m3YV7DiYm&#10;OR4FUIO4sjjBgEnJxcWFlzFhWmY3ctdyF3pA+aa7ZboNRLPA74MaBg1b/MS33tfdlOriYFVReTI6&#10;ZHs4gb07YDr5LoRJ6sbfj2fv9TTvz78DAAD//wMAUEsDBBQABgAIAAAAIQAYBUDc3gAAAAsBAAAP&#10;AAAAZHJzL2Rvd25yZXYueG1sTI/BTsMwEETvSPyDtUjcqJNAEUnjVFWlIsEBldAPcONtkmKvI9tp&#10;w9/jnOC4b0azM+V6Mppd0PnekoB0kQBDaqzqqRVw+No9vADzQZKS2hIK+EEP6+r2ppSFslf6xEsd&#10;WhZDyBdSQBfCUHDumw6N9As7IEXtZJ2RIZ6u5crJaww3mmdJ8syN7Cl+6OSA2w6b73o0AjY4pv5N&#10;786v/aHev58/glPbXIj7u2mzAhZwCn9mmOvH6lDFTkc7kvJMC4hDQqTLNMmBzXqWPUV2nNnyMQde&#10;lfz/huoXAAD//wMAUEsBAi0AFAAGAAgAAAAhALaDOJL+AAAA4QEAABMAAAAAAAAAAAAAAAAAAAAA&#10;AFtDb250ZW50X1R5cGVzXS54bWxQSwECLQAUAAYACAAAACEAOP0h/9YAAACUAQAACwAAAAAAAAAA&#10;AAAAAAAvAQAAX3JlbHMvLnJlbHNQSwECLQAUAAYACAAAACEAIEu4ORwDAAA3BgAADgAAAAAAAAAA&#10;AAAAAAAuAgAAZHJzL2Uyb0RvYy54bWxQSwECLQAUAAYACAAAACEAGAVA3N4AAAALAQAADwAAAAAA&#10;AAAAAAAAAAB2BQAAZHJzL2Rvd25yZXYueG1sUEsFBgAAAAAEAAQA8wAAAIEGAAAAAA==&#10;" o:allowincell="f" filled="f" stroked="f" strokeweight=".5pt">
              <v:fill o:detectmouseclick="t"/>
              <v:textbox inset="20pt,0,,0">
                <w:txbxContent>
                  <w:p w:rsidR="00667D4E" w:rsidRPr="00667D4E" w:rsidRDefault="00667D4E" w:rsidP="00667D4E">
                    <w:pPr>
                      <w:spacing w:after="0"/>
                      <w:rPr>
                        <w:rFonts w:ascii="Calibri" w:hAnsi="Calibri" w:cs="Calibri"/>
                        <w:color w:val="000000"/>
                        <w:sz w:val="14"/>
                      </w:rPr>
                    </w:pPr>
                    <w:r w:rsidRPr="00667D4E">
                      <w:rPr>
                        <w:rFonts w:ascii="Calibri" w:hAnsi="Calibri" w:cs="Calibri"/>
                        <w:color w:val="000000"/>
                        <w:sz w:val="14"/>
                      </w:rPr>
                      <w:t>[BAFL Document]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304A" w:rsidRDefault="0077304A" w:rsidP="00667D4E">
      <w:pPr>
        <w:spacing w:after="0" w:line="240" w:lineRule="auto"/>
      </w:pPr>
      <w:r>
        <w:separator/>
      </w:r>
    </w:p>
  </w:footnote>
  <w:footnote w:type="continuationSeparator" w:id="0">
    <w:p w:rsidR="0077304A" w:rsidRDefault="0077304A" w:rsidP="00667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F17CC4"/>
    <w:multiLevelType w:val="multilevel"/>
    <w:tmpl w:val="75D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25029"/>
    <w:multiLevelType w:val="multilevel"/>
    <w:tmpl w:val="FCD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631C3"/>
    <w:multiLevelType w:val="multilevel"/>
    <w:tmpl w:val="720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F4E3F"/>
    <w:multiLevelType w:val="multilevel"/>
    <w:tmpl w:val="060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D4E"/>
    <w:rsid w:val="00252EAA"/>
    <w:rsid w:val="00667D4E"/>
    <w:rsid w:val="0077304A"/>
    <w:rsid w:val="00D77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3E1DB"/>
  <w15:chartTrackingRefBased/>
  <w15:docId w15:val="{7DF6AA20-EAB8-4C14-93A8-A9FA16F3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7D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7D4E"/>
    <w:rPr>
      <w:b/>
      <w:bCs/>
    </w:rPr>
  </w:style>
  <w:style w:type="paragraph" w:styleId="Header">
    <w:name w:val="header"/>
    <w:basedOn w:val="Normal"/>
    <w:link w:val="HeaderChar"/>
    <w:uiPriority w:val="99"/>
    <w:unhideWhenUsed/>
    <w:rsid w:val="00667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D4E"/>
  </w:style>
  <w:style w:type="paragraph" w:styleId="Footer">
    <w:name w:val="footer"/>
    <w:basedOn w:val="Normal"/>
    <w:link w:val="FooterChar"/>
    <w:uiPriority w:val="99"/>
    <w:unhideWhenUsed/>
    <w:rsid w:val="00667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828484">
      <w:bodyDiv w:val="1"/>
      <w:marLeft w:val="0"/>
      <w:marRight w:val="0"/>
      <w:marTop w:val="0"/>
      <w:marBottom w:val="0"/>
      <w:divBdr>
        <w:top w:val="none" w:sz="0" w:space="0" w:color="auto"/>
        <w:left w:val="none" w:sz="0" w:space="0" w:color="auto"/>
        <w:bottom w:val="none" w:sz="0" w:space="0" w:color="auto"/>
        <w:right w:val="none" w:sz="0" w:space="0" w:color="auto"/>
      </w:divBdr>
    </w:div>
    <w:div w:id="633826572">
      <w:bodyDiv w:val="1"/>
      <w:marLeft w:val="0"/>
      <w:marRight w:val="0"/>
      <w:marTop w:val="0"/>
      <w:marBottom w:val="0"/>
      <w:divBdr>
        <w:top w:val="none" w:sz="0" w:space="0" w:color="auto"/>
        <w:left w:val="none" w:sz="0" w:space="0" w:color="auto"/>
        <w:bottom w:val="none" w:sz="0" w:space="0" w:color="auto"/>
        <w:right w:val="none" w:sz="0" w:space="0" w:color="auto"/>
      </w:divBdr>
    </w:div>
    <w:div w:id="1044451743">
      <w:bodyDiv w:val="1"/>
      <w:marLeft w:val="0"/>
      <w:marRight w:val="0"/>
      <w:marTop w:val="0"/>
      <w:marBottom w:val="0"/>
      <w:divBdr>
        <w:top w:val="none" w:sz="0" w:space="0" w:color="auto"/>
        <w:left w:val="none" w:sz="0" w:space="0" w:color="auto"/>
        <w:bottom w:val="none" w:sz="0" w:space="0" w:color="auto"/>
        <w:right w:val="none" w:sz="0" w:space="0" w:color="auto"/>
      </w:divBdr>
    </w:div>
    <w:div w:id="1282882033">
      <w:bodyDiv w:val="1"/>
      <w:marLeft w:val="0"/>
      <w:marRight w:val="0"/>
      <w:marTop w:val="0"/>
      <w:marBottom w:val="0"/>
      <w:divBdr>
        <w:top w:val="none" w:sz="0" w:space="0" w:color="auto"/>
        <w:left w:val="none" w:sz="0" w:space="0" w:color="auto"/>
        <w:bottom w:val="none" w:sz="0" w:space="0" w:color="auto"/>
        <w:right w:val="none" w:sz="0" w:space="0" w:color="auto"/>
      </w:divBdr>
    </w:div>
    <w:div w:id="170113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Dilip Karacasia -25145</dc:creator>
  <cp:keywords/>
  <dc:description/>
  <cp:lastModifiedBy>Vivek Dilip Karacasia -25145</cp:lastModifiedBy>
  <cp:revision>2</cp:revision>
  <dcterms:created xsi:type="dcterms:W3CDTF">2024-09-26T10:33:00Z</dcterms:created>
  <dcterms:modified xsi:type="dcterms:W3CDTF">2024-09-26T10:35:00Z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c76d5-45ba-4a63-8701-27a8aa3796e4_Enabled">
    <vt:lpwstr>true</vt:lpwstr>
  </property>
  <property fmtid="{D5CDD505-2E9C-101B-9397-08002B2CF9AE}" pid="3" name="MSIP_Label_4f2c76d5-45ba-4a63-8701-27a8aa3796e4_SetDate">
    <vt:lpwstr>2024-09-26T10:35:01Z</vt:lpwstr>
  </property>
  <property fmtid="{D5CDD505-2E9C-101B-9397-08002B2CF9AE}" pid="4" name="MSIP_Label_4f2c76d5-45ba-4a63-8701-27a8aa3796e4_Method">
    <vt:lpwstr>Standard</vt:lpwstr>
  </property>
  <property fmtid="{D5CDD505-2E9C-101B-9397-08002B2CF9AE}" pid="5" name="MSIP_Label_4f2c76d5-45ba-4a63-8701-27a8aa3796e4_Name">
    <vt:lpwstr>Policy Document</vt:lpwstr>
  </property>
  <property fmtid="{D5CDD505-2E9C-101B-9397-08002B2CF9AE}" pid="6" name="MSIP_Label_4f2c76d5-45ba-4a63-8701-27a8aa3796e4_SiteId">
    <vt:lpwstr>2b4fe597-5658-4fa0-888b-881e4da6b121</vt:lpwstr>
  </property>
  <property fmtid="{D5CDD505-2E9C-101B-9397-08002B2CF9AE}" pid="7" name="MSIP_Label_4f2c76d5-45ba-4a63-8701-27a8aa3796e4_ActionId">
    <vt:lpwstr>eece8d21-83ba-4729-83b8-4a2f48ee1925</vt:lpwstr>
  </property>
  <property fmtid="{D5CDD505-2E9C-101B-9397-08002B2CF9AE}" pid="8" name="MSIP_Label_4f2c76d5-45ba-4a63-8701-27a8aa3796e4_ContentBits">
    <vt:lpwstr>2</vt:lpwstr>
  </property>
</Properties>
</file>