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DB4" w:rsidRPr="005F0255" w:rsidRDefault="005F0255">
      <w:pPr>
        <w:rPr>
          <w:b/>
        </w:rPr>
      </w:pPr>
      <w:r w:rsidRPr="005F0255">
        <w:rPr>
          <w:b/>
        </w:rPr>
        <w:t>Product Features</w:t>
      </w:r>
    </w:p>
    <w:p w:rsidR="005F0255" w:rsidRDefault="005F0255" w:rsidP="005F0255">
      <w:pPr>
        <w:pStyle w:val="NormalWeb"/>
        <w:shd w:val="clear" w:color="auto" w:fill="FFFFFF"/>
        <w:rPr>
          <w:rFonts w:ascii="Arial" w:hAnsi="Arial" w:cs="Arial"/>
          <w:color w:val="6F7074"/>
        </w:rPr>
      </w:pPr>
      <w:proofErr w:type="spellStart"/>
      <w:r>
        <w:rPr>
          <w:rFonts w:ascii="Tahoma" w:hAnsi="Tahoma" w:cs="Tahoma"/>
          <w:color w:val="6F7074"/>
        </w:rPr>
        <w:t>Alfalah</w:t>
      </w:r>
      <w:proofErr w:type="spellEnd"/>
      <w:r>
        <w:rPr>
          <w:rFonts w:ascii="Tahoma" w:hAnsi="Tahoma" w:cs="Tahoma"/>
          <w:color w:val="6F7074"/>
        </w:rPr>
        <w:t xml:space="preserve"> </w:t>
      </w:r>
      <w:proofErr w:type="spellStart"/>
      <w:r>
        <w:rPr>
          <w:rFonts w:ascii="Tahoma" w:hAnsi="Tahoma" w:cs="Tahoma"/>
          <w:color w:val="6F7074"/>
        </w:rPr>
        <w:t>Asaan</w:t>
      </w:r>
      <w:proofErr w:type="spellEnd"/>
      <w:r>
        <w:rPr>
          <w:rFonts w:ascii="Tahoma" w:hAnsi="Tahoma" w:cs="Tahoma"/>
          <w:color w:val="6F7074"/>
        </w:rPr>
        <w:t xml:space="preserve"> Islamic Roshan Digital Account is a product variant of Islamic Roshan Digital Account, for primarily lower income segments of NRPs and non-resident POC holders.</w:t>
      </w:r>
    </w:p>
    <w:p w:rsidR="005F0255" w:rsidRPr="005F0255" w:rsidRDefault="005F0255">
      <w:pPr>
        <w:rPr>
          <w:b/>
        </w:rPr>
      </w:pPr>
      <w:r w:rsidRPr="005F0255">
        <w:rPr>
          <w:b/>
        </w:rPr>
        <w:t>Documentation Required</w:t>
      </w:r>
    </w:p>
    <w:p w:rsidR="005F0255" w:rsidRPr="005F0255" w:rsidRDefault="005F0255" w:rsidP="005F0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All features/ requirements of Islamic Roshan Digital Account apply on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Islamic Roshan Digital Account, however</w:t>
      </w:r>
      <w:proofErr w:type="gram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;</w:t>
      </w:r>
      <w:proofErr w:type="gram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with the exceptions of following.</w:t>
      </w:r>
    </w:p>
    <w:p w:rsidR="005F0255" w:rsidRPr="005F0255" w:rsidRDefault="005F0255" w:rsidP="005F02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Account </w:t>
      </w:r>
      <w:proofErr w:type="gram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shall be opened</w:t>
      </w:r>
      <w:proofErr w:type="gram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through a simplified onboarding process by obtaining original scanned CNIC/NICOP/POC. Scanned photocopies of passport and/or any other document (Iqama or contract) may also be acceptable.</w:t>
      </w:r>
    </w:p>
    <w:p w:rsidR="005F0255" w:rsidRPr="005F0255" w:rsidRDefault="005F0255" w:rsidP="005F02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Customer may open account without providing email address where the same is not available. However a declaration shall be provided by the customer that the provided mobile / cell number belongs to the customer and is in their use. </w:t>
      </w:r>
      <w:proofErr w:type="gram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Furthermore</w:t>
      </w:r>
      <w:proofErr w:type="gram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for using ALFA and Internet Banking Services, email shall be mandatory.</w:t>
      </w:r>
    </w:p>
    <w:p w:rsidR="005F0255" w:rsidRPr="005F0255" w:rsidRDefault="005F0255" w:rsidP="005F02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Up to a maximum of USD 5,000/- equivalent foreign inward remittances per month in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Islamic Roshan Digital Account </w:t>
      </w:r>
      <w:proofErr w:type="gram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shall be allowed</w:t>
      </w:r>
      <w:proofErr w:type="gram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>.</w:t>
      </w:r>
    </w:p>
    <w:p w:rsidR="005F0255" w:rsidRPr="005F0255" w:rsidRDefault="005F0255" w:rsidP="005F02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F0255">
        <w:rPr>
          <w:rFonts w:ascii="Tahoma" w:eastAsia="Times New Roman" w:hAnsi="Tahoma" w:cs="Tahoma"/>
          <w:color w:val="6F7074"/>
          <w:sz w:val="24"/>
          <w:szCs w:val="24"/>
        </w:rPr>
        <w:t>Declaration/Undertaking from the customer for their profession and source of funds/income (Annexure – A) shall be required. This declaration needs to be digitally accepted.</w:t>
      </w:r>
    </w:p>
    <w:p w:rsidR="005F0255" w:rsidRPr="005F0255" w:rsidRDefault="005F0255">
      <w:pPr>
        <w:rPr>
          <w:b/>
        </w:rPr>
      </w:pPr>
      <w:bookmarkStart w:id="0" w:name="_GoBack"/>
      <w:r w:rsidRPr="005F0255">
        <w:rPr>
          <w:b/>
        </w:rPr>
        <w:t>FAQs</w:t>
      </w:r>
    </w:p>
    <w:bookmarkEnd w:id="0"/>
    <w:p w:rsidR="005F0255" w:rsidRPr="005F0255" w:rsidRDefault="005F0255" w:rsidP="005F0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What is an </w:t>
      </w:r>
      <w:proofErr w:type="spellStart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Alfalah</w:t>
      </w:r>
      <w:proofErr w:type="spellEnd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Islamic Roshan Digital Account?</w:t>
      </w:r>
    </w:p>
    <w:p w:rsidR="005F0255" w:rsidRPr="005F0255" w:rsidRDefault="005F0255" w:rsidP="005F0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proofErr w:type="gram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Islamic Roshan Digital Account is a product variant of Roshan Digital Account, which is designed to offer further simplified onboarding experience aimed primarily for the lower income segments of NRPs and non-resident POC holders or opening account, in line with the provisions of SBP’s Framework for Remote Digital Onboarding of Non-Resident Pakistanis (NRPs) and Non-Resident Pakistan Origin Card (POC) Holders.</w:t>
      </w:r>
      <w:proofErr w:type="gramEnd"/>
    </w:p>
    <w:p w:rsidR="005F0255" w:rsidRPr="005F0255" w:rsidRDefault="005F0255" w:rsidP="005F0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What are the product features of </w:t>
      </w:r>
      <w:proofErr w:type="spellStart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Alfalah</w:t>
      </w:r>
      <w:proofErr w:type="spellEnd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Islamic Roshan Digital Account?</w:t>
      </w:r>
    </w:p>
    <w:p w:rsidR="005F0255" w:rsidRPr="005F0255" w:rsidRDefault="005F0255" w:rsidP="005F0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All product features of Islamic Roshan Digital Account will apply on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Islamic Roshan Digital Account. However, a foreign inward </w:t>
      </w:r>
      <w:proofErr w:type="gram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remittances</w:t>
      </w:r>
      <w:proofErr w:type="gram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in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Islamic Roshan Digital Account has been set at a maximum of USD 5,000/- equivalent foreign inward remittances per month.</w:t>
      </w:r>
    </w:p>
    <w:p w:rsidR="005F0255" w:rsidRPr="005F0255" w:rsidRDefault="005F0255" w:rsidP="005F0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How different or simple is </w:t>
      </w:r>
      <w:proofErr w:type="spellStart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Alfalah</w:t>
      </w:r>
      <w:proofErr w:type="spellEnd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> </w:t>
      </w:r>
      <w:r w:rsidRPr="005F025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Islamic Roshan Digital Account opening process?</w:t>
      </w:r>
    </w:p>
    <w:p w:rsidR="005F0255" w:rsidRPr="005F0255" w:rsidRDefault="005F0255" w:rsidP="005F0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lastRenderedPageBreak/>
        <w:t>Alfalah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Islamic Roshan Digital Account offer even more simplified onboarding process. During the Account Opening </w:t>
      </w:r>
      <w:proofErr w:type="gram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process</w:t>
      </w:r>
      <w:proofErr w:type="gram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the requirement for obtaining email address is not mandatory. Customer shall provide his/her mobile number mandatorily which will be used for verification and all further correspondences.</w:t>
      </w:r>
    </w:p>
    <w:p w:rsidR="005F0255" w:rsidRPr="005F0255" w:rsidRDefault="005F0255" w:rsidP="005F0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Additionally, in case customer does not have any formal document for profession and source of funds/income, account will be opened </w:t>
      </w:r>
      <w:proofErr w:type="gramStart"/>
      <w:r w:rsidRPr="005F0255">
        <w:rPr>
          <w:rFonts w:ascii="Tahoma" w:eastAsia="Times New Roman" w:hAnsi="Tahoma" w:cs="Tahoma"/>
          <w:color w:val="6F7074"/>
          <w:sz w:val="24"/>
          <w:szCs w:val="24"/>
        </w:rPr>
        <w:t>on the basis of</w:t>
      </w:r>
      <w:proofErr w:type="gramEnd"/>
      <w:r w:rsidRPr="005F0255">
        <w:rPr>
          <w:rFonts w:ascii="Tahoma" w:eastAsia="Times New Roman" w:hAnsi="Tahoma" w:cs="Tahoma"/>
          <w:color w:val="6F7074"/>
          <w:sz w:val="24"/>
          <w:szCs w:val="24"/>
        </w:rPr>
        <w:t xml:space="preserve"> self-declaration from customers.</w:t>
      </w:r>
    </w:p>
    <w:p w:rsidR="005F0255" w:rsidRDefault="005F0255"/>
    <w:sectPr w:rsidR="005F025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255" w:rsidRDefault="005F0255" w:rsidP="005F0255">
      <w:pPr>
        <w:spacing w:after="0" w:line="240" w:lineRule="auto"/>
      </w:pPr>
      <w:r>
        <w:separator/>
      </w:r>
    </w:p>
  </w:endnote>
  <w:endnote w:type="continuationSeparator" w:id="0">
    <w:p w:rsidR="005F0255" w:rsidRDefault="005F0255" w:rsidP="005F0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255" w:rsidRDefault="005F025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273b46b1af732f7e633835f1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F0255" w:rsidRPr="005F0255" w:rsidRDefault="005F0255" w:rsidP="005F025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5F0255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273b46b1af732f7e633835f1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" o:allowincell="f" filled="f" stroked="f" strokeweight=".5pt">
              <v:fill o:detectmouseclick="t"/>
              <v:textbox inset="20pt,0,,0">
                <w:txbxContent>
                  <w:p w:rsidR="005F0255" w:rsidRPr="005F0255" w:rsidRDefault="005F0255" w:rsidP="005F025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5F0255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255" w:rsidRDefault="005F0255" w:rsidP="005F0255">
      <w:pPr>
        <w:spacing w:after="0" w:line="240" w:lineRule="auto"/>
      </w:pPr>
      <w:r>
        <w:separator/>
      </w:r>
    </w:p>
  </w:footnote>
  <w:footnote w:type="continuationSeparator" w:id="0">
    <w:p w:rsidR="005F0255" w:rsidRDefault="005F0255" w:rsidP="005F0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51D93"/>
    <w:multiLevelType w:val="multilevel"/>
    <w:tmpl w:val="705E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255"/>
    <w:rsid w:val="005F0255"/>
    <w:rsid w:val="0097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1359"/>
  <w15:chartTrackingRefBased/>
  <w15:docId w15:val="{7DF52728-26CD-4477-99A8-41FDC1AA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0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0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255"/>
  </w:style>
  <w:style w:type="paragraph" w:styleId="Footer">
    <w:name w:val="footer"/>
    <w:basedOn w:val="Normal"/>
    <w:link w:val="FooterChar"/>
    <w:uiPriority w:val="99"/>
    <w:unhideWhenUsed/>
    <w:rsid w:val="005F0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872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3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8208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2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2024-09-26T10:52:00Z</dcterms:created>
  <dcterms:modified xsi:type="dcterms:W3CDTF">2024-09-26T10:53:00Z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2024-09-26T10:53:23Z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42c185f0-2edb-44b4-8551-3dca1a1684c3</vt:lpwstr>
  </property>
  <property fmtid="{D5CDD505-2E9C-101B-9397-08002B2CF9AE}" pid="8" name="MSIP_Label_4f2c76d5-45ba-4a63-8701-27a8aa3796e4_ContentBits">
    <vt:lpwstr>2</vt:lpwstr>
  </property>
</Properties>
</file>