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SLIC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Tayyab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Takaful Endowment Plan is an easy and affordable membership plans issued to the Participant that provides a cash benefit and bonus based encouragement at the occurrence of the covered events. Based on an application by the Participant, the membership </w:t>
      </w:r>
      <w:proofErr w:type="gram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is issued by State Life Insurance Corporation and administered in accordance with the rulings of the State Life’s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Shariah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Board</w:t>
      </w:r>
      <w:proofErr w:type="gram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>.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Key Benefits</w:t>
      </w:r>
    </w:p>
    <w:p w:rsidR="00F042CD" w:rsidRPr="00F042CD" w:rsidRDefault="00F042CD" w:rsidP="00F042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Hybrid product unique combination of Bonus Based and Unit Linked</w:t>
      </w:r>
    </w:p>
    <w:p w:rsidR="00F042CD" w:rsidRPr="00F042CD" w:rsidRDefault="00F042CD" w:rsidP="00F042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High Value Savings</w:t>
      </w:r>
    </w:p>
    <w:p w:rsidR="00F042CD" w:rsidRPr="00F042CD" w:rsidRDefault="00F042CD" w:rsidP="00F042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Attractive rate of return</w:t>
      </w:r>
    </w:p>
    <w:p w:rsidR="00F042CD" w:rsidRPr="00F042CD" w:rsidRDefault="00F042CD" w:rsidP="00F042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Shariah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compliant Takaful Coverage approved by Takaful company’s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Shariah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Board</w:t>
      </w:r>
    </w:p>
    <w:p w:rsidR="00F042CD" w:rsidRPr="00F042CD" w:rsidRDefault="00F042CD" w:rsidP="00F042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Death Benefit and Maturity Benefit</w:t>
      </w:r>
    </w:p>
    <w:p w:rsidR="00F042CD" w:rsidRPr="00F042CD" w:rsidRDefault="00F042CD" w:rsidP="00F042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Free Look Period of 14 Days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Term of Plan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Minimum Term: 10 years</w:t>
      </w:r>
      <w:r w:rsidRPr="00F042CD">
        <w:rPr>
          <w:rFonts w:ascii="Arial" w:eastAsia="Times New Roman" w:hAnsi="Arial" w:cs="Arial"/>
          <w:color w:val="6F7074"/>
          <w:sz w:val="24"/>
          <w:szCs w:val="24"/>
        </w:rPr>
        <w:br/>
      </w:r>
      <w:r w:rsidRPr="00F042CD">
        <w:rPr>
          <w:rFonts w:ascii="Tahoma" w:eastAsia="Times New Roman" w:hAnsi="Tahoma" w:cs="Tahoma"/>
          <w:color w:val="6F7074"/>
          <w:sz w:val="24"/>
          <w:szCs w:val="24"/>
        </w:rPr>
        <w:t>Maximum Term: 52 years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Unit Allocation: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The allocation of the annual basic plan premium to buy units in the chosen funds is as follow:</w:t>
      </w:r>
    </w:p>
    <w:tbl>
      <w:tblPr>
        <w:tblpPr w:leftFromText="36" w:rightFromText="36" w:vertAnchor="text"/>
        <w:tblW w:w="48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2747"/>
      </w:tblGrid>
      <w:tr w:rsidR="00F042CD" w:rsidRPr="00F042CD" w:rsidTr="00F042CD">
        <w:tc>
          <w:tcPr>
            <w:tcW w:w="32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042CD" w:rsidRPr="00F042CD" w:rsidRDefault="00F042CD" w:rsidP="00F042C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042CD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Policy Year</w:t>
            </w:r>
          </w:p>
        </w:tc>
        <w:tc>
          <w:tcPr>
            <w:tcW w:w="41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042CD" w:rsidRPr="00F042CD" w:rsidRDefault="00F042CD" w:rsidP="00F042C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042CD">
              <w:rPr>
                <w:rFonts w:ascii="Tahoma" w:eastAsia="Times New Roman" w:hAnsi="Tahoma" w:cs="Tahoma"/>
                <w:b/>
                <w:bCs/>
                <w:sz w:val="24"/>
                <w:szCs w:val="24"/>
              </w:rPr>
              <w:t>Allocation Percentage</w:t>
            </w:r>
          </w:p>
        </w:tc>
      </w:tr>
      <w:tr w:rsidR="00F042CD" w:rsidRPr="00F042CD" w:rsidTr="00F042CD">
        <w:tc>
          <w:tcPr>
            <w:tcW w:w="32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042CD" w:rsidRPr="00F042CD" w:rsidRDefault="00F042CD" w:rsidP="00F042C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042CD">
              <w:rPr>
                <w:rFonts w:ascii="Tahoma" w:eastAsia="Times New Roman" w:hAnsi="Tahoma" w:cs="Tahoma"/>
                <w:sz w:val="24"/>
                <w:szCs w:val="24"/>
              </w:rPr>
              <w:t>Year 1</w:t>
            </w:r>
          </w:p>
        </w:tc>
        <w:tc>
          <w:tcPr>
            <w:tcW w:w="41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042CD" w:rsidRPr="00F042CD" w:rsidRDefault="00F042CD" w:rsidP="00F042C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042CD">
              <w:rPr>
                <w:rFonts w:ascii="Tahoma" w:eastAsia="Times New Roman" w:hAnsi="Tahoma" w:cs="Tahoma"/>
                <w:sz w:val="24"/>
                <w:szCs w:val="24"/>
              </w:rPr>
              <w:t>60%</w:t>
            </w:r>
          </w:p>
        </w:tc>
      </w:tr>
      <w:tr w:rsidR="00F042CD" w:rsidRPr="00F042CD" w:rsidTr="00F042CD">
        <w:tc>
          <w:tcPr>
            <w:tcW w:w="32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042CD" w:rsidRPr="00F042CD" w:rsidRDefault="00F042CD" w:rsidP="00F042C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042CD">
              <w:rPr>
                <w:rFonts w:ascii="Tahoma" w:eastAsia="Times New Roman" w:hAnsi="Tahoma" w:cs="Tahoma"/>
                <w:sz w:val="24"/>
                <w:szCs w:val="24"/>
              </w:rPr>
              <w:t>Year 2</w:t>
            </w:r>
          </w:p>
        </w:tc>
        <w:tc>
          <w:tcPr>
            <w:tcW w:w="41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042CD" w:rsidRPr="00F042CD" w:rsidRDefault="00F042CD" w:rsidP="00F042C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042CD">
              <w:rPr>
                <w:rFonts w:ascii="Tahoma" w:eastAsia="Times New Roman" w:hAnsi="Tahoma" w:cs="Tahoma"/>
                <w:sz w:val="24"/>
                <w:szCs w:val="24"/>
              </w:rPr>
              <w:t>80%</w:t>
            </w:r>
          </w:p>
        </w:tc>
      </w:tr>
      <w:tr w:rsidR="00F042CD" w:rsidRPr="00F042CD" w:rsidTr="00F042CD">
        <w:tc>
          <w:tcPr>
            <w:tcW w:w="32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042CD" w:rsidRPr="00F042CD" w:rsidRDefault="00F042CD" w:rsidP="00F042C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042CD">
              <w:rPr>
                <w:rFonts w:ascii="Tahoma" w:eastAsia="Times New Roman" w:hAnsi="Tahoma" w:cs="Tahoma"/>
                <w:sz w:val="24"/>
                <w:szCs w:val="24"/>
              </w:rPr>
              <w:t>Year 3</w:t>
            </w:r>
          </w:p>
        </w:tc>
        <w:tc>
          <w:tcPr>
            <w:tcW w:w="41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042CD" w:rsidRPr="00F042CD" w:rsidRDefault="00F042CD" w:rsidP="00F042C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042CD">
              <w:rPr>
                <w:rFonts w:ascii="Tahoma" w:eastAsia="Times New Roman" w:hAnsi="Tahoma" w:cs="Tahoma"/>
                <w:sz w:val="24"/>
                <w:szCs w:val="24"/>
              </w:rPr>
              <w:t>90%</w:t>
            </w:r>
          </w:p>
        </w:tc>
      </w:tr>
      <w:tr w:rsidR="00F042CD" w:rsidRPr="00F042CD" w:rsidTr="00F042CD">
        <w:tc>
          <w:tcPr>
            <w:tcW w:w="32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042CD" w:rsidRPr="00F042CD" w:rsidRDefault="00F042CD" w:rsidP="00F042C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042CD">
              <w:rPr>
                <w:rFonts w:ascii="Tahoma" w:eastAsia="Times New Roman" w:hAnsi="Tahoma" w:cs="Tahoma"/>
                <w:sz w:val="24"/>
                <w:szCs w:val="24"/>
              </w:rPr>
              <w:t>Year 4 and Onwards</w:t>
            </w:r>
          </w:p>
        </w:tc>
        <w:tc>
          <w:tcPr>
            <w:tcW w:w="4155" w:type="dxa"/>
            <w:tcBorders>
              <w:top w:val="single" w:sz="6" w:space="0" w:color="961C13"/>
              <w:left w:val="single" w:sz="6" w:space="0" w:color="961C13"/>
              <w:bottom w:val="single" w:sz="6" w:space="0" w:color="961C13"/>
              <w:right w:val="single" w:sz="6" w:space="0" w:color="961C13"/>
            </w:tcBorders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F042CD" w:rsidRPr="00F042CD" w:rsidRDefault="00F042CD" w:rsidP="00F042CD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F042CD">
              <w:rPr>
                <w:rFonts w:ascii="Tahoma" w:eastAsia="Times New Roman" w:hAnsi="Tahoma" w:cs="Tahoma"/>
                <w:sz w:val="24"/>
                <w:szCs w:val="24"/>
              </w:rPr>
              <w:t>100%</w:t>
            </w:r>
          </w:p>
        </w:tc>
      </w:tr>
    </w:tbl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 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 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 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*Ad-Hoc: 100%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b/>
          <w:bCs/>
          <w:color w:val="6F7074"/>
          <w:sz w:val="24"/>
          <w:szCs w:val="24"/>
        </w:rPr>
        <w:t>Annual Contribution: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The minimum annual contribution is PKR 15,000/-.</w:t>
      </w:r>
    </w:p>
    <w:p w:rsidR="00151196" w:rsidRDefault="00151196"/>
    <w:p w:rsidR="00F042CD" w:rsidRDefault="00F042CD">
      <w:r>
        <w:t>Target Market</w:t>
      </w:r>
    </w:p>
    <w:p w:rsidR="00F042CD" w:rsidRPr="00F042CD" w:rsidRDefault="00F042CD" w:rsidP="00F042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Salaried Individuals</w:t>
      </w:r>
    </w:p>
    <w:p w:rsidR="00F042CD" w:rsidRPr="00F042CD" w:rsidRDefault="00F042CD" w:rsidP="00F042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Professionals (Chartered Accountants, Consultants, Doctors, etc.)</w:t>
      </w:r>
    </w:p>
    <w:p w:rsidR="00F042CD" w:rsidRPr="00F042CD" w:rsidRDefault="00F042CD" w:rsidP="00F042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Self Employed Individuals, Proprietorships, Partners and Family concern business</w:t>
      </w:r>
    </w:p>
    <w:p w:rsidR="00F042CD" w:rsidRPr="00F042CD" w:rsidRDefault="00F042CD" w:rsidP="00F042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proofErr w:type="gram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lastRenderedPageBreak/>
        <w:t>Landlords</w:t>
      </w:r>
      <w:proofErr w:type="gram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>, Housewives &amp; Retired Individuals with consistent Rental Income/Foreign Remittances.</w:t>
      </w:r>
    </w:p>
    <w:p w:rsidR="00F042CD" w:rsidRPr="00F042CD" w:rsidRDefault="00F042CD" w:rsidP="00F042C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Government / Semi Government employees and Employees of Armed Forces.</w:t>
      </w:r>
    </w:p>
    <w:p w:rsidR="00F042CD" w:rsidRDefault="00F042CD"/>
    <w:p w:rsidR="00F042CD" w:rsidRDefault="00F042CD">
      <w:r>
        <w:t>Eligibility Criteria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The plan is available to all Bank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Alfalah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Limited customers between 18 years to 60 years of age</w:t>
      </w:r>
    </w:p>
    <w:p w:rsidR="00F042CD" w:rsidRDefault="00F042CD">
      <w:r>
        <w:t>Documentation Required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The Plan provides a handsome, lump sum amount at maturity or (God forbid) at the death of the assured. Customer’s beneficiary/Nominee/claimant visits branch for claim. BS requests for the required documents for the claim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ESSENTIAL DOCUMENTS REQUIRED TO PROCESS DEATH CLAIM</w:t>
      </w:r>
    </w:p>
    <w:p w:rsidR="00F042CD" w:rsidRPr="00F042CD" w:rsidRDefault="00F042CD" w:rsidP="00F042C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Policy Schedule.</w:t>
      </w:r>
    </w:p>
    <w:p w:rsidR="00F042CD" w:rsidRPr="00F042CD" w:rsidRDefault="00F042CD" w:rsidP="00F042C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Original Policy Documents.</w:t>
      </w:r>
    </w:p>
    <w:p w:rsidR="00F042CD" w:rsidRPr="00F042CD" w:rsidRDefault="00F042CD" w:rsidP="00F042C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Death Certificate duly issued by the competent authority i.e. NADRA / Union Council etc.</w:t>
      </w:r>
    </w:p>
    <w:p w:rsidR="00F042CD" w:rsidRPr="00F042CD" w:rsidRDefault="00F042CD" w:rsidP="00F042C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Copy of valid CNIC of deceased, claimant and identifier.</w:t>
      </w:r>
    </w:p>
    <w:p w:rsidR="00F042CD" w:rsidRPr="00F042CD" w:rsidRDefault="00F042CD" w:rsidP="00F042C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Claim Forms:</w:t>
      </w:r>
    </w:p>
    <w:p w:rsidR="00F042CD" w:rsidRPr="00F042CD" w:rsidRDefault="00F042CD" w:rsidP="00F042C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Claim Form A (Claimant Statement)</w:t>
      </w:r>
    </w:p>
    <w:p w:rsidR="00F042CD" w:rsidRPr="00F042CD" w:rsidRDefault="00F042CD" w:rsidP="00F042C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Claim Form A-5</w:t>
      </w:r>
    </w:p>
    <w:p w:rsidR="00F042CD" w:rsidRPr="00F042CD" w:rsidRDefault="00F042CD" w:rsidP="00F042C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Claim Form B, (Medical Attendant Statement)</w:t>
      </w:r>
    </w:p>
    <w:p w:rsidR="00F042CD" w:rsidRPr="00F042CD" w:rsidRDefault="00F042CD" w:rsidP="00F042C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Claim Form C (Identification Statement)</w:t>
      </w:r>
    </w:p>
    <w:p w:rsidR="00F042CD" w:rsidRPr="00F042CD" w:rsidRDefault="00F042CD" w:rsidP="00F042C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Claim Form D (Employer Statement)</w:t>
      </w:r>
    </w:p>
    <w:p w:rsidR="00F042CD" w:rsidRPr="00F042CD" w:rsidRDefault="00F042CD" w:rsidP="00F042C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Premium Collection Record.</w:t>
      </w:r>
    </w:p>
    <w:p w:rsidR="00F042CD" w:rsidRPr="00F042CD" w:rsidRDefault="00F042CD" w:rsidP="00F042C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Claim investigation report (in case of early death Claim)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Note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Claim Form A-5 is to </w:t>
      </w:r>
      <w:proofErr w:type="gram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be used</w:t>
      </w:r>
      <w:proofErr w:type="gram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where policies stand assigned in favor of the Provident Fund Department.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BS forwards the same to Bank Operations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Bank Ops scrutinizes the documents and dispatches the same to SLIC/GBA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SLIC/GBA verifies the received documents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SLIC/GBA process the claim and sends documents to SLIC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lastRenderedPageBreak/>
        <w:t>SLIC receives the documents for claim processing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SLIC issue the claim forms to the claimant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After submission of the claim forms/papers and other requirement if any, SLIC process the claim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SLIC counter check and process the claim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SLIC sends the claim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to GBA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GBA prepares discharge letter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GBA Sends the Claimant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and Claim Amount Discharge Letter to the Bank Ops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Bank Ops Forwards the same to DSFO/respective branch</w:t>
      </w:r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Beneficiary visits the Bank to collect the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</w:p>
    <w:p w:rsidR="00F042CD" w:rsidRPr="00F042CD" w:rsidRDefault="00F042CD" w:rsidP="00F042C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BS calls the beneficiary to collect the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in person</w:t>
      </w:r>
    </w:p>
    <w:p w:rsidR="00F042CD" w:rsidRPr="00F042CD" w:rsidRDefault="00F042CD" w:rsidP="00F042C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F7074"/>
          <w:sz w:val="24"/>
          <w:szCs w:val="24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BS ensures the claimant by</w:t>
      </w:r>
    </w:p>
    <w:p w:rsidR="00F042CD" w:rsidRPr="00F042CD" w:rsidRDefault="00F042CD" w:rsidP="00F042C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Original CNIC</w:t>
      </w:r>
    </w:p>
    <w:p w:rsidR="00F042CD" w:rsidRPr="00F042CD" w:rsidRDefault="00F042CD" w:rsidP="00F042C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Copy of the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cheque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signed by beneficiary and sends to SLIC/GBA</w:t>
      </w:r>
    </w:p>
    <w:p w:rsidR="00F042CD" w:rsidRPr="00F042CD" w:rsidRDefault="00F042CD" w:rsidP="00F042C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Signature on Discharge Letter</w:t>
      </w:r>
    </w:p>
    <w:p w:rsidR="00F042CD" w:rsidRPr="00F042CD" w:rsidRDefault="00F042CD" w:rsidP="00F042CD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Bank forwards the original relevant documents to SLIC/GBA</w:t>
      </w:r>
    </w:p>
    <w:p w:rsidR="00F042CD" w:rsidRDefault="00F042CD"/>
    <w:p w:rsidR="00F042CD" w:rsidRDefault="00F042CD"/>
    <w:p w:rsidR="00F042CD" w:rsidRDefault="00F042CD">
      <w:r>
        <w:t>Associated Charges</w:t>
      </w:r>
    </w:p>
    <w:p w:rsidR="00F042CD" w:rsidRPr="00F042CD" w:rsidRDefault="00F042CD" w:rsidP="00F042C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Allocation charges</w:t>
      </w:r>
    </w:p>
    <w:p w:rsidR="00F042CD" w:rsidRPr="00F042CD" w:rsidRDefault="00F042CD" w:rsidP="00F042C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Endowment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Waqf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Contribution</w:t>
      </w:r>
    </w:p>
    <w:p w:rsidR="00F042CD" w:rsidRPr="00F042CD" w:rsidRDefault="00F042CD" w:rsidP="00F042C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Admin Charges (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Wakala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Fee)</w:t>
      </w:r>
    </w:p>
    <w:p w:rsidR="00F042CD" w:rsidRPr="00F042CD" w:rsidRDefault="00F042CD" w:rsidP="00F042C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>Unit allocation charges</w:t>
      </w:r>
    </w:p>
    <w:p w:rsidR="00F042CD" w:rsidRPr="00F042CD" w:rsidRDefault="00F042CD" w:rsidP="00F042C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Fund Management Charge (Investment </w:t>
      </w: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Wakala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Fee)</w:t>
      </w:r>
    </w:p>
    <w:p w:rsidR="00F042CD" w:rsidRPr="00F042CD" w:rsidRDefault="00F042CD" w:rsidP="00F042CD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2175"/>
        <w:rPr>
          <w:rFonts w:ascii="Arial" w:eastAsia="Times New Roman" w:hAnsi="Arial" w:cs="Arial"/>
          <w:color w:val="6F7074"/>
          <w:sz w:val="23"/>
          <w:szCs w:val="23"/>
        </w:rPr>
      </w:pPr>
      <w:proofErr w:type="spellStart"/>
      <w:r w:rsidRPr="00F042CD">
        <w:rPr>
          <w:rFonts w:ascii="Tahoma" w:eastAsia="Times New Roman" w:hAnsi="Tahoma" w:cs="Tahoma"/>
          <w:color w:val="6F7074"/>
          <w:sz w:val="24"/>
          <w:szCs w:val="24"/>
        </w:rPr>
        <w:t>Modarib</w:t>
      </w:r>
      <w:proofErr w:type="spellEnd"/>
      <w:r w:rsidRPr="00F042CD">
        <w:rPr>
          <w:rFonts w:ascii="Tahoma" w:eastAsia="Times New Roman" w:hAnsi="Tahoma" w:cs="Tahoma"/>
          <w:color w:val="6F7074"/>
          <w:sz w:val="24"/>
          <w:szCs w:val="24"/>
        </w:rPr>
        <w:t xml:space="preserve"> Fee</w:t>
      </w:r>
    </w:p>
    <w:p w:rsidR="00F042CD" w:rsidRDefault="00F042CD">
      <w:bookmarkStart w:id="0" w:name="_GoBack"/>
      <w:bookmarkEnd w:id="0"/>
    </w:p>
    <w:sectPr w:rsidR="00F042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42CD" w:rsidRDefault="00F042CD" w:rsidP="00F042CD">
      <w:pPr>
        <w:spacing w:after="0" w:line="240" w:lineRule="auto"/>
      </w:pPr>
      <w:r>
        <w:separator/>
      </w:r>
    </w:p>
  </w:endnote>
  <w:endnote w:type="continuationSeparator" w:id="0">
    <w:p w:rsidR="00F042CD" w:rsidRDefault="00F042CD" w:rsidP="00F04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2CD" w:rsidRDefault="00F042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2CD" w:rsidRDefault="00F042C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9594215</wp:posOffset>
              </wp:positionV>
              <wp:extent cx="7772400" cy="273050"/>
              <wp:effectExtent l="0" t="0" r="0" b="12700"/>
              <wp:wrapNone/>
              <wp:docPr id="1" name="MSIPCM95254127972170e75dc710d5" descr="{&quot;HashCode&quot;:1915505678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F042CD" w:rsidRPr="00F042CD" w:rsidRDefault="00F042CD" w:rsidP="00F042CD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</w:pPr>
                          <w:r w:rsidRPr="00F042CD">
                            <w:rPr>
                              <w:rFonts w:ascii="Calibri" w:hAnsi="Calibri" w:cs="Calibri"/>
                              <w:color w:val="000000"/>
                              <w:sz w:val="14"/>
                            </w:rPr>
                            <w:t>[BAFL Document]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95254127972170e75dc710d5" o:spid="_x0000_s1026" type="#_x0000_t202" alt="{&quot;HashCode&quot;:1915505678,&quot;Height&quot;:792.0,&quot;Width&quot;:612.0,&quot;Placement&quot;:&quot;Footer&quot;,&quot;Index&quot;:&quot;Primary&quot;,&quot;Section&quot;:1,&quot;Top&quot;:0.0,&quot;Left&quot;:0.0}" style="position:absolute;margin-left:0;margin-top:755.4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DEQGwMAADcGAAAOAAAAZHJzL2Uyb0RvYy54bWysVEtv2zAMvg/YfxB02GmpH7XjOmtatCmy&#10;FUjbAOnQsyLLsTBbciWlcVf0v4+S5fSxHYZhF5siKYr8+JHHp11TowemNJdiiqODECMmqCy42Ezx&#10;99v56AgjbYgoSC0Fm+JHpvHpyccPx7t2wmJZybpgCkEQoSe7doorY9pJEGhasYboA9kyAcZSqoYY&#10;OKpNUCiyg+hNHcRhOA52UhWtkpRpDdqL3ohPXPyyZNTclKVmBtVTDLkZ91Xuu7bf4OSYTDaKtBWn&#10;Pg3yD1k0hAt4dB/qghiCtor/FqrhVEktS3NAZRPIsuSUuRqgmih8V82qIi1ztQA4ut3DpP9fWHr9&#10;sFSIF9A7jARpoEVXq8vl7CpP4zSJ4izP4igLWZYWNIvCIsWoYJoCgk+f7rfSfPlGdDWTBetPkyiP&#10;0jRMx9nRZ29nfFMZb83y+CD0hjtemMrrx9GLflkTyhomhju9y1xKw1Qv+wCXomCdD9D/loo3RD2+&#10;8VoBBYCb3i/yd29l6zXhPqEFK4c3QflsqbFr9QQQWrWAkenOZWdh8noNStvxrlSN/UMvEdiBZI97&#10;YrHOIArKLMviJAQTBVucHYapY17wcrtV2nxlskFWmGIFWTs+kYeFNvAiuA4u9jEh57yuHXlrgXZT&#10;PD6EkG8scKMWVgNJQAwv9aR8yiPI5zzOR/PxUTZK5kk6yrPwaBRG+Xk+DpM8uZg/23hRMql4UTCx&#10;4IINAxIlf0dAP6o9td2IvElVy5oXtg6bm61uViv0QGBS18CBHxZoKOKVV/A2HWeG6oa/qzKwPet7&#10;YyXTrTvfsLUsHqGPSgK+0Ard0jmHRxdEmyVRMPWghE1mbuBT1hJAlV7CqJLq55/01h+wACtGO9gi&#10;U6zvt0QxjOpLAWMKMxTavht3AkE5IY+SBA7rQSu2zUxC3TCDkJYTra+pB7FUsrmDTXdmnwMTERQe&#10;BaAGcWbgBAbYlJSdnTkZNkxLzEKsWmpDDyjfdndEtZ5oBvC7lsOiIZN3fOt97U0hz7ZGltyR0SLb&#10;wwnY2wNsJ9cFv0nt+nt9dl4v+/7kFwAAAP//AwBQSwMEFAAGAAgAAAAhABgFQNzeAAAACwEAAA8A&#10;AABkcnMvZG93bnJldi54bWxMj8FOwzAQRO9I/IO1SNyok0ARSeNUVaUiwQGV0A9w422SYq8j22nD&#10;3+Oc4LhvRrMz5Xoyml3Q+d6SgHSRAENqrOqpFXD42j28APNBkpLaEgr4QQ/r6vamlIWyV/rESx1a&#10;FkPIF1JAF8JQcO6bDo30CzsgRe1knZEhnq7lyslrDDeaZ0nyzI3sKX7o5IDbDpvvejQCNjim/k3v&#10;zq/9od6/nz+CU9tciPu7abMCFnAKf2aY68fqUMVORzuS8kwLiENCpMs0yYHNepY9RXac2fIxB16V&#10;/P+G6hcAAP//AwBQSwECLQAUAAYACAAAACEAtoM4kv4AAADhAQAAEwAAAAAAAAAAAAAAAAAAAAAA&#10;W0NvbnRlbnRfVHlwZXNdLnhtbFBLAQItABQABgAIAAAAIQA4/SH/1gAAAJQBAAALAAAAAAAAAAAA&#10;AAAAAC8BAABfcmVscy8ucmVsc1BLAQItABQABgAIAAAAIQDFvDEQGwMAADcGAAAOAAAAAAAAAAAA&#10;AAAAAC4CAABkcnMvZTJvRG9jLnhtbFBLAQItABQABgAIAAAAIQAYBUDc3gAAAAsBAAAPAAAAAAAA&#10;AAAAAAAAAHUFAABkcnMvZG93bnJldi54bWxQSwUGAAAAAAQABADzAAAAgAYAAAAA&#10;" o:allowincell="f" filled="f" stroked="f" strokeweight=".5pt">
              <v:fill o:detectmouseclick="t"/>
              <v:textbox inset="20pt,0,,0">
                <w:txbxContent>
                  <w:p w:rsidR="00F042CD" w:rsidRPr="00F042CD" w:rsidRDefault="00F042CD" w:rsidP="00F042CD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4"/>
                      </w:rPr>
                    </w:pPr>
                    <w:r w:rsidRPr="00F042CD">
                      <w:rPr>
                        <w:rFonts w:ascii="Calibri" w:hAnsi="Calibri" w:cs="Calibri"/>
                        <w:color w:val="000000"/>
                        <w:sz w:val="14"/>
                      </w:rPr>
                      <w:t>[BAFL Document]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2CD" w:rsidRDefault="00F042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42CD" w:rsidRDefault="00F042CD" w:rsidP="00F042CD">
      <w:pPr>
        <w:spacing w:after="0" w:line="240" w:lineRule="auto"/>
      </w:pPr>
      <w:r>
        <w:separator/>
      </w:r>
    </w:p>
  </w:footnote>
  <w:footnote w:type="continuationSeparator" w:id="0">
    <w:p w:rsidR="00F042CD" w:rsidRDefault="00F042CD" w:rsidP="00F042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2CD" w:rsidRDefault="00F042C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2CD" w:rsidRDefault="00F042C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42CD" w:rsidRDefault="00F042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A3BFC"/>
    <w:multiLevelType w:val="multilevel"/>
    <w:tmpl w:val="FFC6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E111C3E"/>
    <w:multiLevelType w:val="multilevel"/>
    <w:tmpl w:val="613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40AE9"/>
    <w:multiLevelType w:val="multilevel"/>
    <w:tmpl w:val="6310D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5C7507"/>
    <w:multiLevelType w:val="multilevel"/>
    <w:tmpl w:val="A906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548D0"/>
    <w:multiLevelType w:val="multilevel"/>
    <w:tmpl w:val="11DA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B0C31"/>
    <w:multiLevelType w:val="multilevel"/>
    <w:tmpl w:val="CA3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63A1E"/>
    <w:multiLevelType w:val="multilevel"/>
    <w:tmpl w:val="82C8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279D1"/>
    <w:multiLevelType w:val="multilevel"/>
    <w:tmpl w:val="1348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2"/>
  </w:num>
  <w:num w:numId="5">
    <w:abstractNumId w:val="5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42CD"/>
    <w:rsid w:val="00151196"/>
    <w:rsid w:val="00F0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23C3D"/>
  <w15:chartTrackingRefBased/>
  <w15:docId w15:val="{E58E5585-DC21-4266-ADB6-2B463FC02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4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04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42CD"/>
  </w:style>
  <w:style w:type="paragraph" w:styleId="Footer">
    <w:name w:val="footer"/>
    <w:basedOn w:val="Normal"/>
    <w:link w:val="FooterChar"/>
    <w:uiPriority w:val="99"/>
    <w:unhideWhenUsed/>
    <w:rsid w:val="00F042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2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50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0982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7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5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0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09408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54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0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2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626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8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8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10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98757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3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62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6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05875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7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1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276510">
                                      <w:marLeft w:val="2400"/>
                                      <w:marRight w:val="240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27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38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Dilip Karacasia -25145</dc:creator>
  <cp:keywords/>
  <dc:description/>
  <cp:lastModifiedBy>Vivek Dilip Karacasia -25145</cp:lastModifiedBy>
  <cp:revision>1</cp:revision>
  <dcterms:created xsi:type="dcterms:W3CDTF">2024-09-27T11:13:00Z</dcterms:created>
  <dcterms:modified xsi:type="dcterms:W3CDTF">2024-09-27T11:14:00Z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c76d5-45ba-4a63-8701-27a8aa3796e4_Enabled">
    <vt:lpwstr>true</vt:lpwstr>
  </property>
  <property fmtid="{D5CDD505-2E9C-101B-9397-08002B2CF9AE}" pid="3" name="MSIP_Label_4f2c76d5-45ba-4a63-8701-27a8aa3796e4_SetDate">
    <vt:lpwstr>2024-09-27T11:14:17Z</vt:lpwstr>
  </property>
  <property fmtid="{D5CDD505-2E9C-101B-9397-08002B2CF9AE}" pid="4" name="MSIP_Label_4f2c76d5-45ba-4a63-8701-27a8aa3796e4_Method">
    <vt:lpwstr>Standard</vt:lpwstr>
  </property>
  <property fmtid="{D5CDD505-2E9C-101B-9397-08002B2CF9AE}" pid="5" name="MSIP_Label_4f2c76d5-45ba-4a63-8701-27a8aa3796e4_Name">
    <vt:lpwstr>Policy Document</vt:lpwstr>
  </property>
  <property fmtid="{D5CDD505-2E9C-101B-9397-08002B2CF9AE}" pid="6" name="MSIP_Label_4f2c76d5-45ba-4a63-8701-27a8aa3796e4_SiteId">
    <vt:lpwstr>2b4fe597-5658-4fa0-888b-881e4da6b121</vt:lpwstr>
  </property>
  <property fmtid="{D5CDD505-2E9C-101B-9397-08002B2CF9AE}" pid="7" name="MSIP_Label_4f2c76d5-45ba-4a63-8701-27a8aa3796e4_ActionId">
    <vt:lpwstr>4ef8b821-87ab-43b0-8a29-d95f2f0bce32</vt:lpwstr>
  </property>
  <property fmtid="{D5CDD505-2E9C-101B-9397-08002B2CF9AE}" pid="8" name="MSIP_Label_4f2c76d5-45ba-4a63-8701-27a8aa3796e4_ContentBits">
    <vt:lpwstr>2</vt:lpwstr>
  </property>
</Properties>
</file>