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36" w:rightFromText="36" w:vertAnchor="text"/>
        <w:tblW w:w="216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22"/>
        <w:gridCol w:w="12978"/>
      </w:tblGrid>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Nature of Product</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A profit bearing deposit based on the principles of </w:t>
            </w:r>
            <w:proofErr w:type="spellStart"/>
            <w:r w:rsidRPr="00911A71">
              <w:rPr>
                <w:rFonts w:ascii="Tahoma" w:eastAsia="Times New Roman" w:hAnsi="Tahoma" w:cs="Tahoma"/>
                <w:sz w:val="24"/>
                <w:szCs w:val="24"/>
              </w:rPr>
              <w:t>Mudarabah</w:t>
            </w:r>
            <w:proofErr w:type="spellEnd"/>
            <w:r w:rsidRPr="00911A71">
              <w:rPr>
                <w:rFonts w:ascii="Tahoma" w:eastAsia="Times New Roman" w:hAnsi="Tahoma" w:cs="Tahoma"/>
                <w:sz w:val="24"/>
                <w:szCs w:val="24"/>
              </w:rPr>
              <w:t>, where Customer is “</w:t>
            </w:r>
            <w:proofErr w:type="spellStart"/>
            <w:r w:rsidRPr="00911A71">
              <w:rPr>
                <w:rFonts w:ascii="Tahoma" w:eastAsia="Times New Roman" w:hAnsi="Tahoma" w:cs="Tahoma"/>
                <w:sz w:val="24"/>
                <w:szCs w:val="24"/>
              </w:rPr>
              <w:t>Rab-ul-Maal</w:t>
            </w:r>
            <w:proofErr w:type="spellEnd"/>
            <w:r w:rsidRPr="00911A71">
              <w:rPr>
                <w:rFonts w:ascii="Tahoma" w:eastAsia="Times New Roman" w:hAnsi="Tahoma" w:cs="Tahoma"/>
                <w:sz w:val="24"/>
                <w:szCs w:val="24"/>
              </w:rPr>
              <w:t>” and Bank is “</w:t>
            </w:r>
            <w:proofErr w:type="spellStart"/>
            <w:r w:rsidRPr="00911A71">
              <w:rPr>
                <w:rFonts w:ascii="Tahoma" w:eastAsia="Times New Roman" w:hAnsi="Tahoma" w:cs="Tahoma"/>
                <w:sz w:val="24"/>
                <w:szCs w:val="24"/>
              </w:rPr>
              <w:t>Mudarib</w:t>
            </w:r>
            <w:proofErr w:type="spellEnd"/>
            <w:r w:rsidRPr="00911A71">
              <w:rPr>
                <w:rFonts w:ascii="Tahoma" w:eastAsia="Times New Roman" w:hAnsi="Tahoma" w:cs="Tahoma"/>
                <w:sz w:val="24"/>
                <w:szCs w:val="24"/>
              </w:rPr>
              <w:t xml:space="preserve">”. Bank may, at its discretion, use or employ such funds as it deems fit under the products and avenues approved by the </w:t>
            </w:r>
            <w:proofErr w:type="spellStart"/>
            <w:r w:rsidRPr="00911A71">
              <w:rPr>
                <w:rFonts w:ascii="Tahoma" w:eastAsia="Times New Roman" w:hAnsi="Tahoma" w:cs="Tahoma"/>
                <w:sz w:val="24"/>
                <w:szCs w:val="24"/>
              </w:rPr>
              <w:t>Shariah</w:t>
            </w:r>
            <w:proofErr w:type="spellEnd"/>
            <w:r w:rsidRPr="00911A71">
              <w:rPr>
                <w:rFonts w:ascii="Tahoma" w:eastAsia="Times New Roman" w:hAnsi="Tahoma" w:cs="Tahoma"/>
                <w:sz w:val="24"/>
                <w:szCs w:val="24"/>
              </w:rPr>
              <w:t xml:space="preserve"> Board of the Bank. Bank shall share the profit </w:t>
            </w:r>
            <w:proofErr w:type="gramStart"/>
            <w:r w:rsidRPr="00911A71">
              <w:rPr>
                <w:rFonts w:ascii="Tahoma" w:eastAsia="Times New Roman" w:hAnsi="Tahoma" w:cs="Tahoma"/>
                <w:sz w:val="24"/>
                <w:szCs w:val="24"/>
              </w:rPr>
              <w:t>on the basis of</w:t>
            </w:r>
            <w:proofErr w:type="gramEnd"/>
            <w:r w:rsidRPr="00911A71">
              <w:rPr>
                <w:rFonts w:ascii="Tahoma" w:eastAsia="Times New Roman" w:hAnsi="Tahoma" w:cs="Tahoma"/>
                <w:sz w:val="24"/>
                <w:szCs w:val="24"/>
              </w:rPr>
              <w:t xml:space="preserve"> predetermined profit sharing ratio. Return on deposits </w:t>
            </w:r>
            <w:proofErr w:type="gramStart"/>
            <w:r w:rsidRPr="00911A71">
              <w:rPr>
                <w:rFonts w:ascii="Tahoma" w:eastAsia="Times New Roman" w:hAnsi="Tahoma" w:cs="Tahoma"/>
                <w:sz w:val="24"/>
                <w:szCs w:val="24"/>
              </w:rPr>
              <w:t>will be based</w:t>
            </w:r>
            <w:proofErr w:type="gramEnd"/>
            <w:r w:rsidRPr="00911A71">
              <w:rPr>
                <w:rFonts w:ascii="Tahoma" w:eastAsia="Times New Roman" w:hAnsi="Tahoma" w:cs="Tahoma"/>
                <w:sz w:val="24"/>
                <w:szCs w:val="24"/>
              </w:rPr>
              <w:t xml:space="preserve"> on predetermined weightages for each month or any interval decided by the bank and announced as per SBP’s instructions. A sheet containing Profit Sharing Ratio and Weightages information shall be available on Customer’s demand and also be placed at the public notice board of branches and on the website of the bank.   </w:t>
            </w:r>
          </w:p>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In the event of loss to the pool, all the investors of the pool shall share such loss proportionate to their investment. The Bank </w:t>
            </w:r>
            <w:proofErr w:type="gramStart"/>
            <w:r w:rsidRPr="00911A71">
              <w:rPr>
                <w:rFonts w:ascii="Tahoma" w:eastAsia="Times New Roman" w:hAnsi="Tahoma" w:cs="Tahoma"/>
                <w:sz w:val="24"/>
                <w:szCs w:val="24"/>
              </w:rPr>
              <w:t>may at its option also participate</w:t>
            </w:r>
            <w:proofErr w:type="gramEnd"/>
            <w:r w:rsidRPr="00911A71">
              <w:rPr>
                <w:rFonts w:ascii="Tahoma" w:eastAsia="Times New Roman" w:hAnsi="Tahoma" w:cs="Tahoma"/>
                <w:sz w:val="24"/>
                <w:szCs w:val="24"/>
              </w:rPr>
              <w:t xml:space="preserve"> in </w:t>
            </w:r>
            <w:proofErr w:type="spellStart"/>
            <w:r w:rsidRPr="00911A71">
              <w:rPr>
                <w:rFonts w:ascii="Tahoma" w:eastAsia="Times New Roman" w:hAnsi="Tahoma" w:cs="Tahoma"/>
                <w:sz w:val="24"/>
                <w:szCs w:val="24"/>
              </w:rPr>
              <w:t>Mudarabah</w:t>
            </w:r>
            <w:proofErr w:type="spellEnd"/>
            <w:r w:rsidRPr="00911A71">
              <w:rPr>
                <w:rFonts w:ascii="Tahoma" w:eastAsia="Times New Roman" w:hAnsi="Tahoma" w:cs="Tahoma"/>
                <w:sz w:val="24"/>
                <w:szCs w:val="24"/>
              </w:rPr>
              <w:t xml:space="preserve"> Pool as “</w:t>
            </w:r>
            <w:proofErr w:type="spellStart"/>
            <w:r w:rsidRPr="00911A71">
              <w:rPr>
                <w:rFonts w:ascii="Tahoma" w:eastAsia="Times New Roman" w:hAnsi="Tahoma" w:cs="Tahoma"/>
                <w:sz w:val="24"/>
                <w:szCs w:val="24"/>
              </w:rPr>
              <w:t>Rab-ul-Maal</w:t>
            </w:r>
            <w:proofErr w:type="spellEnd"/>
            <w:r w:rsidRPr="00911A71">
              <w:rPr>
                <w:rFonts w:ascii="Tahoma" w:eastAsia="Times New Roman" w:hAnsi="Tahoma" w:cs="Tahoma"/>
                <w:sz w:val="24"/>
                <w:szCs w:val="24"/>
              </w:rPr>
              <w:t>” by comingling its own equity/funds and the funds of other depositors including the current deposits as and when required.   </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after="0" w:line="240" w:lineRule="auto"/>
              <w:rPr>
                <w:rFonts w:ascii="Arial" w:eastAsia="Times New Roman" w:hAnsi="Arial" w:cs="Arial"/>
                <w:sz w:val="24"/>
                <w:szCs w:val="24"/>
              </w:rPr>
            </w:pPr>
            <w:r w:rsidRPr="00911A71">
              <w:rPr>
                <w:rFonts w:ascii="Tahoma" w:eastAsia="Times New Roman" w:hAnsi="Tahoma" w:cs="Tahoma"/>
                <w:sz w:val="24"/>
                <w:szCs w:val="24"/>
              </w:rPr>
              <w:t> </w:t>
            </w:r>
            <w:r w:rsidRPr="00911A71">
              <w:rPr>
                <w:rFonts w:ascii="Tahoma" w:eastAsia="Times New Roman" w:hAnsi="Tahoma" w:cs="Tahoma"/>
                <w:b/>
                <w:bCs/>
                <w:color w:val="003366"/>
                <w:sz w:val="24"/>
                <w:szCs w:val="24"/>
              </w:rPr>
              <w:t>Currency</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numPr>
                <w:ilvl w:val="0"/>
                <w:numId w:val="1"/>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USD ($)        </w:t>
            </w:r>
          </w:p>
          <w:p w:rsidR="00911A71" w:rsidRPr="00911A71" w:rsidRDefault="00911A71" w:rsidP="00911A71">
            <w:pPr>
              <w:numPr>
                <w:ilvl w:val="0"/>
                <w:numId w:val="1"/>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EURO (€)      </w:t>
            </w:r>
          </w:p>
          <w:p w:rsidR="00911A71" w:rsidRPr="00911A71" w:rsidRDefault="00911A71" w:rsidP="00911A71">
            <w:pPr>
              <w:numPr>
                <w:ilvl w:val="0"/>
                <w:numId w:val="1"/>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GBP (£)  </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after="0" w:line="240" w:lineRule="auto"/>
              <w:rPr>
                <w:rFonts w:ascii="Arial" w:eastAsia="Times New Roman" w:hAnsi="Arial" w:cs="Arial"/>
                <w:sz w:val="24"/>
                <w:szCs w:val="24"/>
              </w:rPr>
            </w:pPr>
            <w:r w:rsidRPr="00911A71">
              <w:rPr>
                <w:rFonts w:ascii="Tahoma" w:eastAsia="Times New Roman" w:hAnsi="Tahoma" w:cs="Tahoma"/>
                <w:sz w:val="24"/>
                <w:szCs w:val="24"/>
              </w:rPr>
              <w:t> </w:t>
            </w:r>
            <w:r w:rsidRPr="00911A71">
              <w:rPr>
                <w:rFonts w:ascii="Tahoma" w:eastAsia="Times New Roman" w:hAnsi="Tahoma" w:cs="Tahoma"/>
                <w:b/>
                <w:bCs/>
                <w:color w:val="003366"/>
                <w:sz w:val="24"/>
                <w:szCs w:val="24"/>
              </w:rPr>
              <w:t>Term</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numPr>
                <w:ilvl w:val="0"/>
                <w:numId w:val="2"/>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1-Month     </w:t>
            </w:r>
          </w:p>
          <w:p w:rsidR="00911A71" w:rsidRPr="00911A71" w:rsidRDefault="00911A71" w:rsidP="00911A71">
            <w:pPr>
              <w:numPr>
                <w:ilvl w:val="0"/>
                <w:numId w:val="2"/>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3-Months      </w:t>
            </w:r>
          </w:p>
          <w:p w:rsidR="00911A71" w:rsidRPr="00911A71" w:rsidRDefault="00911A71" w:rsidP="00911A71">
            <w:pPr>
              <w:numPr>
                <w:ilvl w:val="0"/>
                <w:numId w:val="2"/>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6-Months</w:t>
            </w:r>
          </w:p>
          <w:p w:rsidR="00911A71" w:rsidRPr="00911A71" w:rsidRDefault="00911A71" w:rsidP="00911A71">
            <w:pPr>
              <w:numPr>
                <w:ilvl w:val="0"/>
                <w:numId w:val="2"/>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1-Year</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after="0" w:line="240" w:lineRule="auto"/>
              <w:rPr>
                <w:rFonts w:ascii="Arial" w:eastAsia="Times New Roman" w:hAnsi="Arial" w:cs="Arial"/>
                <w:sz w:val="24"/>
                <w:szCs w:val="24"/>
              </w:rPr>
            </w:pPr>
            <w:r w:rsidRPr="00911A71">
              <w:rPr>
                <w:rFonts w:ascii="Tahoma" w:eastAsia="Times New Roman" w:hAnsi="Tahoma" w:cs="Tahoma"/>
                <w:sz w:val="24"/>
                <w:szCs w:val="24"/>
              </w:rPr>
              <w:t> </w:t>
            </w:r>
            <w:r w:rsidRPr="00911A71">
              <w:rPr>
                <w:rFonts w:ascii="Tahoma" w:eastAsia="Times New Roman" w:hAnsi="Tahoma" w:cs="Tahoma"/>
                <w:b/>
                <w:bCs/>
                <w:color w:val="003366"/>
                <w:sz w:val="24"/>
                <w:szCs w:val="24"/>
              </w:rPr>
              <w:t>Minimum Investment Requirement</w:t>
            </w:r>
            <w:r w:rsidRPr="00911A71">
              <w:rPr>
                <w:rFonts w:ascii="Tahoma" w:eastAsia="Times New Roman" w:hAnsi="Tahoma" w:cs="Tahoma"/>
                <w:color w:val="003366"/>
                <w:sz w:val="24"/>
                <w:szCs w:val="24"/>
              </w:rPr>
              <w:t> </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numPr>
                <w:ilvl w:val="0"/>
                <w:numId w:val="3"/>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$1000/-  </w:t>
            </w:r>
          </w:p>
          <w:p w:rsidR="00911A71" w:rsidRPr="00911A71" w:rsidRDefault="00911A71" w:rsidP="00911A71">
            <w:pPr>
              <w:numPr>
                <w:ilvl w:val="0"/>
                <w:numId w:val="3"/>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€ 1000/-                </w:t>
            </w:r>
          </w:p>
          <w:p w:rsidR="00911A71" w:rsidRPr="00911A71" w:rsidRDefault="00911A71" w:rsidP="00911A71">
            <w:pPr>
              <w:numPr>
                <w:ilvl w:val="0"/>
                <w:numId w:val="3"/>
              </w:numPr>
              <w:spacing w:before="100" w:beforeAutospacing="1" w:after="100" w:afterAutospacing="1" w:line="240" w:lineRule="auto"/>
              <w:ind w:left="0"/>
              <w:rPr>
                <w:rFonts w:ascii="Arial" w:eastAsia="Times New Roman" w:hAnsi="Arial" w:cs="Arial"/>
                <w:sz w:val="24"/>
                <w:szCs w:val="24"/>
              </w:rPr>
            </w:pPr>
            <w:r w:rsidRPr="00911A71">
              <w:rPr>
                <w:rFonts w:ascii="Tahoma" w:eastAsia="Times New Roman" w:hAnsi="Tahoma" w:cs="Tahoma"/>
                <w:sz w:val="24"/>
                <w:szCs w:val="24"/>
              </w:rPr>
              <w:t>£ 1000/-                </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Structure</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Single Tier Product, Profit payable at maturity</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Profit calculation basis</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Daily balance basis</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Frequency of Profit Payment</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Payment of profit to the account shall be made at </w:t>
            </w:r>
            <w:proofErr w:type="gramStart"/>
            <w:r w:rsidRPr="00911A71">
              <w:rPr>
                <w:rFonts w:ascii="Tahoma" w:eastAsia="Times New Roman" w:hAnsi="Tahoma" w:cs="Tahoma"/>
                <w:sz w:val="24"/>
                <w:szCs w:val="24"/>
              </w:rPr>
              <w:t>maturity or rollover</w:t>
            </w:r>
            <w:proofErr w:type="gramEnd"/>
            <w:r w:rsidRPr="00911A71">
              <w:rPr>
                <w:rFonts w:ascii="Tahoma" w:eastAsia="Times New Roman" w:hAnsi="Tahoma" w:cs="Tahoma"/>
                <w:sz w:val="24"/>
                <w:szCs w:val="24"/>
              </w:rPr>
              <w:t xml:space="preserve"> or encashment of Term Deposit.</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Statutory</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WHT and Zakat as per Government’s rules</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Others</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Rollover shall take place on specific written instructions of the client or as per Account Opening Form</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Profit Calculation Mechanism</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In case customer intends to </w:t>
            </w:r>
            <w:proofErr w:type="spellStart"/>
            <w:r w:rsidRPr="00911A71">
              <w:rPr>
                <w:rFonts w:ascii="Tahoma" w:eastAsia="Times New Roman" w:hAnsi="Tahoma" w:cs="Tahoma"/>
                <w:sz w:val="24"/>
                <w:szCs w:val="24"/>
              </w:rPr>
              <w:t>encash</w:t>
            </w:r>
            <w:proofErr w:type="spellEnd"/>
            <w:r w:rsidRPr="00911A71">
              <w:rPr>
                <w:rFonts w:ascii="Tahoma" w:eastAsia="Times New Roman" w:hAnsi="Tahoma" w:cs="Tahoma"/>
                <w:sz w:val="24"/>
                <w:szCs w:val="24"/>
              </w:rPr>
              <w:t xml:space="preserve"> </w:t>
            </w:r>
            <w:proofErr w:type="spellStart"/>
            <w:r w:rsidRPr="00911A71">
              <w:rPr>
                <w:rFonts w:ascii="Tahoma" w:eastAsia="Times New Roman" w:hAnsi="Tahoma" w:cs="Tahoma"/>
                <w:sz w:val="24"/>
                <w:szCs w:val="24"/>
              </w:rPr>
              <w:t>Alfalah</w:t>
            </w:r>
            <w:proofErr w:type="spellEnd"/>
            <w:r w:rsidRPr="00911A71">
              <w:rPr>
                <w:rFonts w:ascii="Tahoma" w:eastAsia="Times New Roman" w:hAnsi="Tahoma" w:cs="Tahoma"/>
                <w:sz w:val="24"/>
                <w:szCs w:val="24"/>
              </w:rPr>
              <w:t xml:space="preserve"> Islamic Foreign Currency TDR- USD/EURO/GBP prior to its maturity date. The profit shall be calculated as follows</w:t>
            </w:r>
          </w:p>
        </w:tc>
      </w:tr>
      <w:tr w:rsidR="00911A71" w:rsidRPr="00911A71" w:rsidTr="00911A71">
        <w:tc>
          <w:tcPr>
            <w:tcW w:w="10635" w:type="dxa"/>
            <w:gridSpan w:val="2"/>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jc w:val="center"/>
              <w:rPr>
                <w:rFonts w:ascii="Arial" w:eastAsia="Times New Roman" w:hAnsi="Arial" w:cs="Arial"/>
                <w:sz w:val="24"/>
                <w:szCs w:val="24"/>
              </w:rPr>
            </w:pPr>
            <w:r w:rsidRPr="00911A71">
              <w:rPr>
                <w:rFonts w:ascii="Tahoma" w:eastAsia="Times New Roman" w:hAnsi="Tahoma" w:cs="Tahoma"/>
                <w:b/>
                <w:bCs/>
                <w:color w:val="003366"/>
                <w:sz w:val="24"/>
                <w:szCs w:val="24"/>
                <w:u w:val="single"/>
              </w:rPr>
              <w:t>Premature Encashment Treatment:</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jc w:val="center"/>
              <w:rPr>
                <w:rFonts w:ascii="Arial" w:eastAsia="Times New Roman" w:hAnsi="Arial" w:cs="Arial"/>
                <w:sz w:val="24"/>
                <w:szCs w:val="24"/>
              </w:rPr>
            </w:pPr>
            <w:r w:rsidRPr="00911A71">
              <w:rPr>
                <w:rFonts w:ascii="Tahoma" w:eastAsia="Times New Roman" w:hAnsi="Tahoma" w:cs="Tahoma"/>
                <w:b/>
                <w:bCs/>
                <w:color w:val="003366"/>
                <w:sz w:val="24"/>
                <w:szCs w:val="24"/>
                <w:u w:val="single"/>
              </w:rPr>
              <w:t>Tenure Completed</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jc w:val="center"/>
              <w:rPr>
                <w:rFonts w:ascii="Arial" w:eastAsia="Times New Roman" w:hAnsi="Arial" w:cs="Arial"/>
                <w:sz w:val="24"/>
                <w:szCs w:val="24"/>
              </w:rPr>
            </w:pPr>
            <w:r w:rsidRPr="00911A71">
              <w:rPr>
                <w:rFonts w:ascii="Tahoma" w:eastAsia="Times New Roman" w:hAnsi="Tahoma" w:cs="Tahoma"/>
                <w:b/>
                <w:bCs/>
                <w:color w:val="003366"/>
                <w:sz w:val="24"/>
                <w:szCs w:val="24"/>
                <w:u w:val="single"/>
              </w:rPr>
              <w:t>Basis for Profit</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Encashment prior to 1 month</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Last declared actual profit rate of FCY (respective currency) savings account </w:t>
            </w:r>
            <w:proofErr w:type="gramStart"/>
            <w:r w:rsidRPr="00911A71">
              <w:rPr>
                <w:rFonts w:ascii="Tahoma" w:eastAsia="Times New Roman" w:hAnsi="Tahoma" w:cs="Tahoma"/>
                <w:sz w:val="24"/>
                <w:szCs w:val="24"/>
              </w:rPr>
              <w:t>will be applied</w:t>
            </w:r>
            <w:proofErr w:type="gramEnd"/>
            <w:r w:rsidRPr="00911A71">
              <w:rPr>
                <w:rFonts w:ascii="Tahoma" w:eastAsia="Times New Roman" w:hAnsi="Tahoma" w:cs="Tahoma"/>
                <w:sz w:val="24"/>
                <w:szCs w:val="24"/>
              </w:rPr>
              <w:t xml:space="preserve"> for the period deposit held with the Bank.</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1 Month or more but less than 3 months</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Profit shall be calculated and paid/adjusted </w:t>
            </w:r>
            <w:proofErr w:type="gramStart"/>
            <w:r w:rsidRPr="00911A71">
              <w:rPr>
                <w:rFonts w:ascii="Tahoma" w:eastAsia="Times New Roman" w:hAnsi="Tahoma" w:cs="Tahoma"/>
                <w:sz w:val="24"/>
                <w:szCs w:val="24"/>
              </w:rPr>
              <w:t>on the basis of</w:t>
            </w:r>
            <w:proofErr w:type="gramEnd"/>
            <w:r w:rsidRPr="00911A71">
              <w:rPr>
                <w:rFonts w:ascii="Tahoma" w:eastAsia="Times New Roman" w:hAnsi="Tahoma" w:cs="Tahoma"/>
                <w:sz w:val="24"/>
                <w:szCs w:val="24"/>
              </w:rPr>
              <w:t xml:space="preserve"> actual declared monthly profit rate of respective tier of regular TDR FCY (respective currency) for 1 month for the relevant period deposit held with the Bank.</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3 Months or more but less than 6 months</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Profit shall be calculated and paid/adjusted </w:t>
            </w:r>
            <w:proofErr w:type="gramStart"/>
            <w:r w:rsidRPr="00911A71">
              <w:rPr>
                <w:rFonts w:ascii="Tahoma" w:eastAsia="Times New Roman" w:hAnsi="Tahoma" w:cs="Tahoma"/>
                <w:sz w:val="24"/>
                <w:szCs w:val="24"/>
              </w:rPr>
              <w:t>on the basis of</w:t>
            </w:r>
            <w:proofErr w:type="gramEnd"/>
            <w:r w:rsidRPr="00911A71">
              <w:rPr>
                <w:rFonts w:ascii="Tahoma" w:eastAsia="Times New Roman" w:hAnsi="Tahoma" w:cs="Tahoma"/>
                <w:sz w:val="24"/>
                <w:szCs w:val="24"/>
              </w:rPr>
              <w:t xml:space="preserve"> actual declared monthly profit rate of respective tier of regular TDR FCY (respective currency) for 3 months for the relevant period deposit held with the Bank.</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6 Months or more but less than 1 year</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 xml:space="preserve">Profit shall be calculated and paid/adjusted </w:t>
            </w:r>
            <w:proofErr w:type="gramStart"/>
            <w:r w:rsidRPr="00911A71">
              <w:rPr>
                <w:rFonts w:ascii="Tahoma" w:eastAsia="Times New Roman" w:hAnsi="Tahoma" w:cs="Tahoma"/>
                <w:sz w:val="24"/>
                <w:szCs w:val="24"/>
              </w:rPr>
              <w:t>on the basis of</w:t>
            </w:r>
            <w:proofErr w:type="gramEnd"/>
            <w:r w:rsidRPr="00911A71">
              <w:rPr>
                <w:rFonts w:ascii="Tahoma" w:eastAsia="Times New Roman" w:hAnsi="Tahoma" w:cs="Tahoma"/>
                <w:sz w:val="24"/>
                <w:szCs w:val="24"/>
              </w:rPr>
              <w:t xml:space="preserve"> actual declared monthly profit rate of respective tier of regular TDR FCY (respective currency) for 6 months for the relevant period deposit held with the Bank.</w:t>
            </w:r>
          </w:p>
        </w:tc>
      </w:tr>
      <w:tr w:rsidR="00911A71" w:rsidRPr="00911A71" w:rsidTr="00911A71">
        <w:tc>
          <w:tcPr>
            <w:tcW w:w="42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b/>
                <w:bCs/>
                <w:color w:val="003366"/>
                <w:sz w:val="24"/>
                <w:szCs w:val="24"/>
              </w:rPr>
              <w:t>Other Terms &amp; Conditions:</w:t>
            </w:r>
          </w:p>
        </w:tc>
        <w:tc>
          <w:tcPr>
            <w:tcW w:w="63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911A71" w:rsidRPr="00911A71" w:rsidRDefault="00911A71" w:rsidP="00911A71">
            <w:pPr>
              <w:spacing w:before="100" w:beforeAutospacing="1" w:after="100" w:afterAutospacing="1" w:line="240" w:lineRule="auto"/>
              <w:rPr>
                <w:rFonts w:ascii="Arial" w:eastAsia="Times New Roman" w:hAnsi="Arial" w:cs="Arial"/>
                <w:sz w:val="24"/>
                <w:szCs w:val="24"/>
              </w:rPr>
            </w:pPr>
            <w:r w:rsidRPr="00911A71">
              <w:rPr>
                <w:rFonts w:ascii="Tahoma" w:eastAsia="Times New Roman" w:hAnsi="Tahoma" w:cs="Tahoma"/>
                <w:sz w:val="24"/>
                <w:szCs w:val="24"/>
              </w:rPr>
              <w:t>As detailed in Account Opening Form</w:t>
            </w:r>
          </w:p>
        </w:tc>
      </w:tr>
    </w:tbl>
    <w:p w:rsidR="00911A71" w:rsidRPr="00911A71" w:rsidRDefault="00911A71" w:rsidP="00911A71">
      <w:pPr>
        <w:shd w:val="clear" w:color="auto" w:fill="FFFFFF"/>
        <w:spacing w:before="100" w:beforeAutospacing="1" w:after="100" w:afterAutospacing="1" w:line="240" w:lineRule="auto"/>
        <w:rPr>
          <w:rFonts w:ascii="Arial" w:eastAsia="Times New Roman" w:hAnsi="Arial" w:cs="Arial"/>
          <w:color w:val="6F7074"/>
          <w:sz w:val="24"/>
          <w:szCs w:val="24"/>
        </w:rPr>
      </w:pPr>
      <w:r w:rsidRPr="00911A71">
        <w:rPr>
          <w:rFonts w:ascii="Arial" w:eastAsia="Times New Roman" w:hAnsi="Arial" w:cs="Arial"/>
          <w:color w:val="6F7074"/>
          <w:sz w:val="24"/>
          <w:szCs w:val="24"/>
        </w:rPr>
        <w:t> </w:t>
      </w:r>
    </w:p>
    <w:p w:rsidR="006740B7" w:rsidRDefault="006740B7">
      <w:bookmarkStart w:id="0" w:name="_GoBack"/>
      <w:bookmarkEnd w:id="0"/>
    </w:p>
    <w:sectPr w:rsidR="006740B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A71" w:rsidRDefault="00911A71" w:rsidP="00911A71">
      <w:pPr>
        <w:spacing w:after="0" w:line="240" w:lineRule="auto"/>
      </w:pPr>
      <w:r>
        <w:separator/>
      </w:r>
    </w:p>
  </w:endnote>
  <w:endnote w:type="continuationSeparator" w:id="0">
    <w:p w:rsidR="00911A71" w:rsidRDefault="00911A71" w:rsidP="00911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A71" w:rsidRDefault="00911A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A71" w:rsidRDefault="00911A71">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9787475a88ddc8783d831ca0"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11A71" w:rsidRPr="00911A71" w:rsidRDefault="00911A71" w:rsidP="00911A71">
                          <w:pPr>
                            <w:spacing w:after="0"/>
                            <w:rPr>
                              <w:rFonts w:ascii="Calibri" w:hAnsi="Calibri" w:cs="Calibri"/>
                              <w:color w:val="000000"/>
                              <w:sz w:val="14"/>
                            </w:rPr>
                          </w:pPr>
                          <w:r w:rsidRPr="00911A71">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9787475a88ddc8783d831ca0"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" o:allowincell="f" filled="f" stroked="f" strokeweight=".5pt">
              <v:fill o:detectmouseclick="t"/>
              <v:textbox inset="20pt,0,,0">
                <w:txbxContent>
                  <w:p w:rsidR="00911A71" w:rsidRPr="00911A71" w:rsidRDefault="00911A71" w:rsidP="00911A71">
                    <w:pPr>
                      <w:spacing w:after="0"/>
                      <w:rPr>
                        <w:rFonts w:ascii="Calibri" w:hAnsi="Calibri" w:cs="Calibri"/>
                        <w:color w:val="000000"/>
                        <w:sz w:val="14"/>
                      </w:rPr>
                    </w:pPr>
                    <w:r w:rsidRPr="00911A71">
                      <w:rPr>
                        <w:rFonts w:ascii="Calibri" w:hAnsi="Calibri" w:cs="Calibri"/>
                        <w:color w:val="000000"/>
                        <w:sz w:val="14"/>
                      </w:rPr>
                      <w:t>[BAFL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A71" w:rsidRDefault="00911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A71" w:rsidRDefault="00911A71" w:rsidP="00911A71">
      <w:pPr>
        <w:spacing w:after="0" w:line="240" w:lineRule="auto"/>
      </w:pPr>
      <w:r>
        <w:separator/>
      </w:r>
    </w:p>
  </w:footnote>
  <w:footnote w:type="continuationSeparator" w:id="0">
    <w:p w:rsidR="00911A71" w:rsidRDefault="00911A71" w:rsidP="00911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A71" w:rsidRDefault="00911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A71" w:rsidRDefault="00911A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1A71" w:rsidRDefault="00911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57C58"/>
    <w:multiLevelType w:val="multilevel"/>
    <w:tmpl w:val="321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90A76"/>
    <w:multiLevelType w:val="multilevel"/>
    <w:tmpl w:val="1D1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90B07"/>
    <w:multiLevelType w:val="multilevel"/>
    <w:tmpl w:val="9CD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A71"/>
    <w:rsid w:val="006740B7"/>
    <w:rsid w:val="0091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E80A6E1-2DF7-439E-A3B9-CC5A8B1F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1A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1A71"/>
    <w:rPr>
      <w:b/>
      <w:bCs/>
    </w:rPr>
  </w:style>
  <w:style w:type="paragraph" w:styleId="Header">
    <w:name w:val="header"/>
    <w:basedOn w:val="Normal"/>
    <w:link w:val="HeaderChar"/>
    <w:uiPriority w:val="99"/>
    <w:unhideWhenUsed/>
    <w:rsid w:val="00911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A71"/>
  </w:style>
  <w:style w:type="paragraph" w:styleId="Footer">
    <w:name w:val="footer"/>
    <w:basedOn w:val="Normal"/>
    <w:link w:val="FooterChar"/>
    <w:uiPriority w:val="99"/>
    <w:unhideWhenUsed/>
    <w:rsid w:val="00911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829785">
      <w:bodyDiv w:val="1"/>
      <w:marLeft w:val="0"/>
      <w:marRight w:val="0"/>
      <w:marTop w:val="0"/>
      <w:marBottom w:val="0"/>
      <w:divBdr>
        <w:top w:val="none" w:sz="0" w:space="0" w:color="auto"/>
        <w:left w:val="none" w:sz="0" w:space="0" w:color="auto"/>
        <w:bottom w:val="none" w:sz="0" w:space="0" w:color="auto"/>
        <w:right w:val="none" w:sz="0" w:space="0" w:color="auto"/>
      </w:divBdr>
      <w:divsChild>
        <w:div w:id="1752383857">
          <w:marLeft w:val="0"/>
          <w:marRight w:val="0"/>
          <w:marTop w:val="0"/>
          <w:marBottom w:val="0"/>
          <w:divBdr>
            <w:top w:val="none" w:sz="0" w:space="0" w:color="auto"/>
            <w:left w:val="none" w:sz="0" w:space="0" w:color="auto"/>
            <w:bottom w:val="none" w:sz="0" w:space="0" w:color="auto"/>
            <w:right w:val="none" w:sz="0" w:space="0" w:color="auto"/>
          </w:divBdr>
        </w:div>
        <w:div w:id="553346411">
          <w:marLeft w:val="0"/>
          <w:marRight w:val="0"/>
          <w:marTop w:val="0"/>
          <w:marBottom w:val="0"/>
          <w:divBdr>
            <w:top w:val="none" w:sz="0" w:space="0" w:color="auto"/>
            <w:left w:val="none" w:sz="0" w:space="0" w:color="auto"/>
            <w:bottom w:val="none" w:sz="0" w:space="0" w:color="auto"/>
            <w:right w:val="none" w:sz="0" w:space="0" w:color="auto"/>
          </w:divBdr>
        </w:div>
        <w:div w:id="1926259164">
          <w:marLeft w:val="0"/>
          <w:marRight w:val="0"/>
          <w:marTop w:val="0"/>
          <w:marBottom w:val="0"/>
          <w:divBdr>
            <w:top w:val="none" w:sz="0" w:space="0" w:color="auto"/>
            <w:left w:val="none" w:sz="0" w:space="0" w:color="auto"/>
            <w:bottom w:val="none" w:sz="0" w:space="0" w:color="auto"/>
            <w:right w:val="none" w:sz="0" w:space="0" w:color="auto"/>
          </w:divBdr>
        </w:div>
        <w:div w:id="1547064056">
          <w:marLeft w:val="0"/>
          <w:marRight w:val="0"/>
          <w:marTop w:val="0"/>
          <w:marBottom w:val="0"/>
          <w:divBdr>
            <w:top w:val="none" w:sz="0" w:space="0" w:color="auto"/>
            <w:left w:val="none" w:sz="0" w:space="0" w:color="auto"/>
            <w:bottom w:val="none" w:sz="0" w:space="0" w:color="auto"/>
            <w:right w:val="none" w:sz="0" w:space="0" w:color="auto"/>
          </w:divBdr>
        </w:div>
        <w:div w:id="594558997">
          <w:marLeft w:val="0"/>
          <w:marRight w:val="0"/>
          <w:marTop w:val="0"/>
          <w:marBottom w:val="0"/>
          <w:divBdr>
            <w:top w:val="none" w:sz="0" w:space="0" w:color="auto"/>
            <w:left w:val="none" w:sz="0" w:space="0" w:color="auto"/>
            <w:bottom w:val="none" w:sz="0" w:space="0" w:color="auto"/>
            <w:right w:val="none" w:sz="0" w:space="0" w:color="auto"/>
          </w:divBdr>
        </w:div>
        <w:div w:id="99642443">
          <w:marLeft w:val="0"/>
          <w:marRight w:val="0"/>
          <w:marTop w:val="0"/>
          <w:marBottom w:val="0"/>
          <w:divBdr>
            <w:top w:val="none" w:sz="0" w:space="0" w:color="auto"/>
            <w:left w:val="none" w:sz="0" w:space="0" w:color="auto"/>
            <w:bottom w:val="none" w:sz="0" w:space="0" w:color="auto"/>
            <w:right w:val="none" w:sz="0" w:space="0" w:color="auto"/>
          </w:divBdr>
        </w:div>
        <w:div w:id="672417874">
          <w:marLeft w:val="0"/>
          <w:marRight w:val="0"/>
          <w:marTop w:val="0"/>
          <w:marBottom w:val="0"/>
          <w:divBdr>
            <w:top w:val="none" w:sz="0" w:space="0" w:color="auto"/>
            <w:left w:val="none" w:sz="0" w:space="0" w:color="auto"/>
            <w:bottom w:val="none" w:sz="0" w:space="0" w:color="auto"/>
            <w:right w:val="none" w:sz="0" w:space="0" w:color="auto"/>
          </w:divBdr>
        </w:div>
        <w:div w:id="1479109790">
          <w:marLeft w:val="0"/>
          <w:marRight w:val="0"/>
          <w:marTop w:val="0"/>
          <w:marBottom w:val="0"/>
          <w:divBdr>
            <w:top w:val="none" w:sz="0" w:space="0" w:color="auto"/>
            <w:left w:val="none" w:sz="0" w:space="0" w:color="auto"/>
            <w:bottom w:val="none" w:sz="0" w:space="0" w:color="auto"/>
            <w:right w:val="none" w:sz="0" w:space="0" w:color="auto"/>
          </w:divBdr>
        </w:div>
        <w:div w:id="48891671">
          <w:marLeft w:val="0"/>
          <w:marRight w:val="0"/>
          <w:marTop w:val="0"/>
          <w:marBottom w:val="0"/>
          <w:divBdr>
            <w:top w:val="none" w:sz="0" w:space="0" w:color="auto"/>
            <w:left w:val="none" w:sz="0" w:space="0" w:color="auto"/>
            <w:bottom w:val="none" w:sz="0" w:space="0" w:color="auto"/>
            <w:right w:val="none" w:sz="0" w:space="0" w:color="auto"/>
          </w:divBdr>
        </w:div>
        <w:div w:id="1317940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1</cp:revision>
  <dcterms:created xsi:type="dcterms:W3CDTF">2024-09-26T10:39:00Z</dcterms:created>
  <dcterms:modified xsi:type="dcterms:W3CDTF">2024-09-26T10:40:00Z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2024-09-26T10:39:57Z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e108b8ca-35be-43ab-b594-450c9209f897</vt:lpwstr>
  </property>
  <property fmtid="{D5CDD505-2E9C-101B-9397-08002B2CF9AE}" pid="8" name="MSIP_Label_4f2c76d5-45ba-4a63-8701-27a8aa3796e4_ContentBits">
    <vt:lpwstr>2</vt:lpwstr>
  </property>
</Properties>
</file>