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2CC7" w:rsidRDefault="00A027E0">
      <w:r>
        <w:t>Product Features</w:t>
      </w:r>
    </w:p>
    <w:p w:rsidR="00A027E0" w:rsidRPr="00A027E0" w:rsidRDefault="00A027E0" w:rsidP="00A027E0">
      <w:pPr>
        <w:shd w:val="clear" w:color="auto" w:fill="FFFFFF"/>
        <w:spacing w:before="100" w:beforeAutospacing="1" w:after="100" w:afterAutospacing="1" w:line="240" w:lineRule="auto"/>
        <w:rPr>
          <w:rFonts w:ascii="Arial" w:eastAsia="Times New Roman" w:hAnsi="Arial" w:cs="Arial"/>
          <w:color w:val="6F7074"/>
          <w:sz w:val="24"/>
          <w:szCs w:val="24"/>
        </w:rPr>
      </w:pPr>
      <w:r w:rsidRPr="00A027E0">
        <w:rPr>
          <w:rFonts w:ascii="Tahoma" w:eastAsia="Times New Roman" w:hAnsi="Tahoma" w:cs="Tahoma"/>
          <w:color w:val="6F7074"/>
          <w:sz w:val="24"/>
          <w:szCs w:val="24"/>
        </w:rPr>
        <w:t xml:space="preserve">This Scheme </w:t>
      </w:r>
      <w:proofErr w:type="gramStart"/>
      <w:r w:rsidRPr="00A027E0">
        <w:rPr>
          <w:rFonts w:ascii="Tahoma" w:eastAsia="Times New Roman" w:hAnsi="Tahoma" w:cs="Tahoma"/>
          <w:color w:val="6F7074"/>
          <w:sz w:val="24"/>
          <w:szCs w:val="24"/>
        </w:rPr>
        <w:t>is expected</w:t>
      </w:r>
      <w:proofErr w:type="gramEnd"/>
      <w:r w:rsidRPr="00A027E0">
        <w:rPr>
          <w:rFonts w:ascii="Tahoma" w:eastAsia="Times New Roman" w:hAnsi="Tahoma" w:cs="Tahoma"/>
          <w:color w:val="6F7074"/>
          <w:sz w:val="24"/>
          <w:szCs w:val="24"/>
        </w:rPr>
        <w:t xml:space="preserve"> to ease cash flow constraints of the employers for timely payment of the wages and salaries to their workers and employees and thereby avoid layoffs. </w:t>
      </w:r>
    </w:p>
    <w:p w:rsidR="00A027E0" w:rsidRPr="00A027E0" w:rsidRDefault="00A027E0" w:rsidP="00A027E0">
      <w:pPr>
        <w:shd w:val="clear" w:color="auto" w:fill="FFFFFF"/>
        <w:spacing w:before="100" w:beforeAutospacing="1" w:after="100" w:afterAutospacing="1" w:line="240" w:lineRule="auto"/>
        <w:rPr>
          <w:rFonts w:ascii="Arial" w:eastAsia="Times New Roman" w:hAnsi="Arial" w:cs="Arial"/>
          <w:color w:val="6F7074"/>
          <w:sz w:val="24"/>
          <w:szCs w:val="24"/>
        </w:rPr>
      </w:pPr>
      <w:r w:rsidRPr="00A027E0">
        <w:rPr>
          <w:rFonts w:ascii="Tahoma" w:eastAsia="Times New Roman" w:hAnsi="Tahoma" w:cs="Tahoma"/>
          <w:b/>
          <w:bCs/>
          <w:color w:val="003366"/>
          <w:sz w:val="24"/>
          <w:szCs w:val="24"/>
          <w:u w:val="single"/>
        </w:rPr>
        <w:t>Product Features/Benefits:</w:t>
      </w:r>
    </w:p>
    <w:p w:rsidR="00A027E0" w:rsidRPr="00A027E0" w:rsidRDefault="00A027E0" w:rsidP="00A027E0">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A027E0">
        <w:rPr>
          <w:rFonts w:ascii="Tahoma" w:eastAsia="Times New Roman" w:hAnsi="Tahoma" w:cs="Tahoma"/>
          <w:color w:val="6F7074"/>
          <w:sz w:val="24"/>
          <w:szCs w:val="24"/>
        </w:rPr>
        <w:t>Refinancing will be available to finance wages and salaries of permanent, contractual, daily wagers as well as outsourced employees of existing as well as new borrowers of banks and DFIs.</w:t>
      </w:r>
    </w:p>
    <w:p w:rsidR="00A027E0" w:rsidRPr="00A027E0" w:rsidRDefault="00A027E0" w:rsidP="00A027E0">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A027E0">
        <w:rPr>
          <w:rFonts w:ascii="Tahoma" w:eastAsia="Times New Roman" w:hAnsi="Tahoma" w:cs="Tahoma"/>
          <w:color w:val="6F7074"/>
          <w:sz w:val="24"/>
          <w:szCs w:val="24"/>
        </w:rPr>
        <w:t>The end user markup rate under the Scheme shall be up to 5%</w:t>
      </w:r>
    </w:p>
    <w:p w:rsidR="00A027E0" w:rsidRPr="00A027E0" w:rsidRDefault="00A027E0" w:rsidP="00A027E0">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A027E0">
        <w:rPr>
          <w:rFonts w:ascii="Tahoma" w:eastAsia="Times New Roman" w:hAnsi="Tahoma" w:cs="Tahoma"/>
          <w:color w:val="6F7074"/>
          <w:sz w:val="24"/>
          <w:szCs w:val="24"/>
        </w:rPr>
        <w:t xml:space="preserve"> Government Entities, Public Sector Enterprises (PSEs), Autonomous Bodies (ABs) and Financial Institutions (including banks, DFIs, Non-banking finance companies (NBFCs), insurance and </w:t>
      </w:r>
      <w:proofErr w:type="spellStart"/>
      <w:r w:rsidRPr="00A027E0">
        <w:rPr>
          <w:rFonts w:ascii="Tahoma" w:eastAsia="Times New Roman" w:hAnsi="Tahoma" w:cs="Tahoma"/>
          <w:color w:val="6F7074"/>
          <w:sz w:val="24"/>
          <w:szCs w:val="24"/>
        </w:rPr>
        <w:t>takaful</w:t>
      </w:r>
      <w:proofErr w:type="spellEnd"/>
      <w:r w:rsidRPr="00A027E0">
        <w:rPr>
          <w:rFonts w:ascii="Tahoma" w:eastAsia="Times New Roman" w:hAnsi="Tahoma" w:cs="Tahoma"/>
          <w:color w:val="6F7074"/>
          <w:sz w:val="24"/>
          <w:szCs w:val="24"/>
        </w:rPr>
        <w:t xml:space="preserve"> companies, securities depository companies and trustees, securities brokers, clearing houses and stock and commodity exchanges, etc.) are not eligible to borrow under this Scheme.</w:t>
      </w:r>
    </w:p>
    <w:p w:rsidR="00A027E0" w:rsidRPr="00A027E0" w:rsidRDefault="00A027E0" w:rsidP="00A027E0">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A027E0">
        <w:rPr>
          <w:rFonts w:ascii="Tahoma" w:eastAsia="Times New Roman" w:hAnsi="Tahoma" w:cs="Tahoma"/>
          <w:color w:val="6F7074"/>
          <w:sz w:val="24"/>
          <w:szCs w:val="24"/>
        </w:rPr>
        <w:t>The borrowers availing this facility will undertake not to lay off their workers/employees at least during three months from the date of first disbursement except in case of any disciplinary action.</w:t>
      </w:r>
    </w:p>
    <w:p w:rsidR="00A027E0" w:rsidRDefault="00A027E0"/>
    <w:p w:rsidR="00A027E0" w:rsidRDefault="00A027E0">
      <w:r>
        <w:t>Target Market</w:t>
      </w:r>
    </w:p>
    <w:p w:rsidR="00A027E0" w:rsidRDefault="00A027E0">
      <w:pPr>
        <w:rPr>
          <w:rFonts w:ascii="Tahoma" w:hAnsi="Tahoma" w:cs="Tahoma"/>
          <w:color w:val="6F7074"/>
          <w:shd w:val="clear" w:color="auto" w:fill="FFFFFF"/>
        </w:rPr>
      </w:pPr>
      <w:r>
        <w:rPr>
          <w:rFonts w:ascii="Tahoma" w:hAnsi="Tahoma" w:cs="Tahoma"/>
          <w:color w:val="6F7074"/>
          <w:shd w:val="clear" w:color="auto" w:fill="FFFFFF"/>
        </w:rPr>
        <w:t>All permanent, contractual, daily wagers and outsourced employees of SMEs, Commercial and Corporate enterprises.</w:t>
      </w:r>
    </w:p>
    <w:p w:rsidR="00A027E0" w:rsidRDefault="00A027E0">
      <w:pPr>
        <w:rPr>
          <w:rFonts w:ascii="Tahoma" w:hAnsi="Tahoma" w:cs="Tahoma"/>
          <w:color w:val="6F7074"/>
          <w:shd w:val="clear" w:color="auto" w:fill="FFFFFF"/>
        </w:rPr>
      </w:pPr>
    </w:p>
    <w:p w:rsidR="00A027E0" w:rsidRDefault="00A027E0">
      <w:pPr>
        <w:rPr>
          <w:rFonts w:ascii="Tahoma" w:hAnsi="Tahoma" w:cs="Tahoma"/>
          <w:color w:val="6F7074"/>
          <w:shd w:val="clear" w:color="auto" w:fill="FFFFFF"/>
        </w:rPr>
      </w:pPr>
      <w:r>
        <w:rPr>
          <w:rFonts w:ascii="Tahoma" w:hAnsi="Tahoma" w:cs="Tahoma"/>
          <w:color w:val="6F7074"/>
          <w:shd w:val="clear" w:color="auto" w:fill="FFFFFF"/>
        </w:rPr>
        <w:t>Eligibility Criteria</w:t>
      </w:r>
    </w:p>
    <w:p w:rsidR="00A027E0" w:rsidRDefault="00A027E0">
      <w:pPr>
        <w:rPr>
          <w:rFonts w:ascii="Tahoma" w:hAnsi="Tahoma" w:cs="Tahoma"/>
          <w:color w:val="6F7074"/>
          <w:shd w:val="clear" w:color="auto" w:fill="FFFFFF"/>
        </w:rPr>
      </w:pPr>
      <w:r>
        <w:rPr>
          <w:rFonts w:ascii="Tahoma" w:hAnsi="Tahoma" w:cs="Tahoma"/>
          <w:color w:val="6F7074"/>
          <w:shd w:val="clear" w:color="auto" w:fill="FFFFFF"/>
        </w:rPr>
        <w:t>The borrowers availing this facility will undertake not to lay off their workers/employees at least during three months from the date of first disbursement except in case of any disciplinary action.</w:t>
      </w:r>
    </w:p>
    <w:p w:rsidR="00A027E0" w:rsidRDefault="00A027E0">
      <w:pPr>
        <w:rPr>
          <w:rFonts w:ascii="Tahoma" w:hAnsi="Tahoma" w:cs="Tahoma"/>
          <w:color w:val="6F7074"/>
          <w:shd w:val="clear" w:color="auto" w:fill="FFFFFF"/>
        </w:rPr>
      </w:pPr>
    </w:p>
    <w:p w:rsidR="00A027E0" w:rsidRDefault="00A027E0">
      <w:pPr>
        <w:rPr>
          <w:rFonts w:ascii="Tahoma" w:hAnsi="Tahoma" w:cs="Tahoma"/>
          <w:color w:val="6F7074"/>
          <w:shd w:val="clear" w:color="auto" w:fill="FFFFFF"/>
        </w:rPr>
      </w:pPr>
      <w:r>
        <w:rPr>
          <w:rFonts w:ascii="Tahoma" w:hAnsi="Tahoma" w:cs="Tahoma"/>
          <w:color w:val="6F7074"/>
          <w:shd w:val="clear" w:color="auto" w:fill="FFFFFF"/>
        </w:rPr>
        <w:t>Documentation Required</w:t>
      </w:r>
    </w:p>
    <w:tbl>
      <w:tblPr>
        <w:tblW w:w="216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1600"/>
      </w:tblGrid>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b/>
                <w:bCs/>
                <w:color w:val="003366"/>
                <w:sz w:val="24"/>
                <w:szCs w:val="24"/>
              </w:rPr>
              <w:t>Individuals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Attested copy of the   CNIC(s)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One recent passport size   photograph of the sponsors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Copy of any latest paid   utility bill received at the residential address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Copy of Rent deed/lease   deed, where property is rented</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Undertaking that the   customer is not :</w:t>
            </w:r>
          </w:p>
          <w:p w:rsidR="00A027E0" w:rsidRPr="00A027E0" w:rsidRDefault="00A027E0" w:rsidP="00A027E0">
            <w:pPr>
              <w:numPr>
                <w:ilvl w:val="0"/>
                <w:numId w:val="2"/>
              </w:numPr>
              <w:spacing w:before="100" w:beforeAutospacing="1" w:after="100" w:afterAutospacing="1" w:line="240" w:lineRule="auto"/>
              <w:ind w:left="0"/>
              <w:rPr>
                <w:rFonts w:ascii="Arial" w:eastAsia="Times New Roman" w:hAnsi="Arial" w:cs="Arial"/>
                <w:sz w:val="24"/>
                <w:szCs w:val="24"/>
              </w:rPr>
            </w:pPr>
            <w:r w:rsidRPr="00A027E0">
              <w:rPr>
                <w:rFonts w:ascii="Tahoma" w:eastAsia="Times New Roman" w:hAnsi="Tahoma" w:cs="Tahoma"/>
                <w:sz w:val="24"/>
                <w:szCs w:val="24"/>
              </w:rPr>
              <w:t xml:space="preserve">  </w:t>
            </w:r>
            <w:r w:rsidRPr="00A027E0">
              <w:rPr>
                <w:rFonts w:ascii="Tahoma" w:eastAsia="Times New Roman" w:hAnsi="Tahoma" w:cs="Tahoma"/>
                <w:sz w:val="24"/>
                <w:szCs w:val="24"/>
              </w:rPr>
              <w:softHyphen/>
              <w:t xml:space="preserve"> the director, major shareholder holding 5% or more of the share capital of   the Bank,</w:t>
            </w:r>
          </w:p>
          <w:p w:rsidR="00A027E0" w:rsidRPr="00A027E0" w:rsidRDefault="00A027E0" w:rsidP="00A027E0">
            <w:pPr>
              <w:numPr>
                <w:ilvl w:val="0"/>
                <w:numId w:val="2"/>
              </w:numPr>
              <w:spacing w:before="100" w:beforeAutospacing="1" w:after="100" w:afterAutospacing="1" w:line="240" w:lineRule="auto"/>
              <w:ind w:left="0"/>
              <w:rPr>
                <w:rFonts w:ascii="Arial" w:eastAsia="Times New Roman" w:hAnsi="Arial" w:cs="Arial"/>
                <w:sz w:val="24"/>
                <w:szCs w:val="24"/>
              </w:rPr>
            </w:pPr>
            <w:r w:rsidRPr="00A027E0">
              <w:rPr>
                <w:rFonts w:ascii="Tahoma" w:eastAsia="Times New Roman" w:hAnsi="Tahoma" w:cs="Tahoma"/>
                <w:sz w:val="24"/>
                <w:szCs w:val="24"/>
              </w:rPr>
              <w:lastRenderedPageBreak/>
              <w:t xml:space="preserve">  </w:t>
            </w:r>
            <w:r w:rsidRPr="00A027E0">
              <w:rPr>
                <w:rFonts w:ascii="Tahoma" w:eastAsia="Times New Roman" w:hAnsi="Tahoma" w:cs="Tahoma"/>
                <w:sz w:val="24"/>
                <w:szCs w:val="24"/>
              </w:rPr>
              <w:softHyphen/>
              <w:t xml:space="preserve"> its Chief Executive or</w:t>
            </w:r>
          </w:p>
          <w:p w:rsidR="00A027E0" w:rsidRPr="00A027E0" w:rsidRDefault="00A027E0" w:rsidP="00A027E0">
            <w:pPr>
              <w:numPr>
                <w:ilvl w:val="0"/>
                <w:numId w:val="2"/>
              </w:numPr>
              <w:spacing w:before="100" w:beforeAutospacing="1" w:after="100" w:afterAutospacing="1" w:line="240" w:lineRule="auto"/>
              <w:ind w:left="0"/>
              <w:rPr>
                <w:rFonts w:ascii="Arial" w:eastAsia="Times New Roman" w:hAnsi="Arial" w:cs="Arial"/>
                <w:sz w:val="24"/>
                <w:szCs w:val="24"/>
              </w:rPr>
            </w:pPr>
            <w:r w:rsidRPr="00A027E0">
              <w:rPr>
                <w:rFonts w:ascii="Tahoma" w:eastAsia="Times New Roman" w:hAnsi="Tahoma" w:cs="Tahoma"/>
                <w:sz w:val="24"/>
                <w:szCs w:val="24"/>
              </w:rPr>
              <w:t xml:space="preserve">  </w:t>
            </w:r>
            <w:r w:rsidRPr="00A027E0">
              <w:rPr>
                <w:rFonts w:ascii="Tahoma" w:eastAsia="Times New Roman" w:hAnsi="Tahoma" w:cs="Tahoma"/>
                <w:sz w:val="24"/>
                <w:szCs w:val="24"/>
              </w:rPr>
              <w:softHyphen/>
              <w:t xml:space="preserve"> an employee or</w:t>
            </w:r>
          </w:p>
          <w:p w:rsidR="00A027E0" w:rsidRPr="00A027E0" w:rsidRDefault="00A027E0" w:rsidP="00A027E0">
            <w:pPr>
              <w:numPr>
                <w:ilvl w:val="0"/>
                <w:numId w:val="2"/>
              </w:numPr>
              <w:spacing w:before="100" w:beforeAutospacing="1" w:after="100" w:afterAutospacing="1" w:line="240" w:lineRule="auto"/>
              <w:ind w:left="0"/>
              <w:rPr>
                <w:rFonts w:ascii="Arial" w:eastAsia="Times New Roman" w:hAnsi="Arial" w:cs="Arial"/>
                <w:sz w:val="24"/>
                <w:szCs w:val="24"/>
              </w:rPr>
            </w:pPr>
            <w:r w:rsidRPr="00A027E0">
              <w:rPr>
                <w:rFonts w:ascii="Tahoma" w:eastAsia="Times New Roman" w:hAnsi="Tahoma" w:cs="Tahoma"/>
                <w:sz w:val="24"/>
                <w:szCs w:val="24"/>
              </w:rPr>
              <w:t xml:space="preserve">  </w:t>
            </w:r>
            <w:r w:rsidRPr="00A027E0">
              <w:rPr>
                <w:rFonts w:ascii="Tahoma" w:eastAsia="Times New Roman" w:hAnsi="Tahoma" w:cs="Tahoma"/>
                <w:sz w:val="24"/>
                <w:szCs w:val="24"/>
              </w:rPr>
              <w:softHyphen/>
              <w:t xml:space="preserve"> </w:t>
            </w:r>
            <w:proofErr w:type="gramStart"/>
            <w:r w:rsidRPr="00A027E0">
              <w:rPr>
                <w:rFonts w:ascii="Tahoma" w:eastAsia="Times New Roman" w:hAnsi="Tahoma" w:cs="Tahoma"/>
                <w:sz w:val="24"/>
                <w:szCs w:val="24"/>
              </w:rPr>
              <w:t>any</w:t>
            </w:r>
            <w:proofErr w:type="gramEnd"/>
            <w:r w:rsidRPr="00A027E0">
              <w:rPr>
                <w:rFonts w:ascii="Tahoma" w:eastAsia="Times New Roman" w:hAnsi="Tahoma" w:cs="Tahoma"/>
                <w:sz w:val="24"/>
                <w:szCs w:val="24"/>
              </w:rPr>
              <w:t xml:space="preserve"> family member of above interested persons.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lastRenderedPageBreak/>
              <w:t>Copy of net worth statement   (if available)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b/>
                <w:bCs/>
                <w:color w:val="003366"/>
                <w:sz w:val="24"/>
                <w:szCs w:val="24"/>
              </w:rPr>
              <w:t>Additional Documents for   Proprietorship / Partnership / Company (Public / Private)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Copy of any latest paid   utility bill received at business address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Copy of Rent deed/lease   deed, where property is rented</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Company Profile (History /   Future Plan)</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Project Information /   Product List</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Financial statements of   last year at least and preferably for the last three years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 xml:space="preserve">Online Tax </w:t>
            </w:r>
            <w:proofErr w:type="spellStart"/>
            <w:r w:rsidRPr="00A027E0">
              <w:rPr>
                <w:rFonts w:ascii="Tahoma" w:eastAsia="Times New Roman" w:hAnsi="Tahoma" w:cs="Tahoma"/>
                <w:sz w:val="24"/>
                <w:szCs w:val="24"/>
              </w:rPr>
              <w:t>Verisys</w:t>
            </w:r>
            <w:proofErr w:type="spellEnd"/>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Partnership deed, Copy of   certificate of registration of partnership (only required for partnership   concerns)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Memorandum and Articles of   Association &amp; Certificate of Incorporation (only required for limited   companies)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Latest form 29 certified by   SECP (only required for limited companies)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 xml:space="preserve">Latest form A ( (only   required for limited </w:t>
            </w:r>
            <w:proofErr w:type="spellStart"/>
            <w:r w:rsidRPr="00A027E0">
              <w:rPr>
                <w:rFonts w:ascii="Tahoma" w:eastAsia="Times New Roman" w:hAnsi="Tahoma" w:cs="Tahoma"/>
                <w:sz w:val="24"/>
                <w:szCs w:val="24"/>
              </w:rPr>
              <w:t>companiesm</w:t>
            </w:r>
            <w:proofErr w:type="spellEnd"/>
            <w:r w:rsidRPr="00A027E0">
              <w:rPr>
                <w:rFonts w:ascii="Tahoma" w:eastAsia="Times New Roman" w:hAnsi="Tahoma" w:cs="Tahoma"/>
                <w:sz w:val="24"/>
                <w:szCs w:val="24"/>
              </w:rPr>
              <w:t xml:space="preserve"> if applicable)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Board resolution   authorizing borrowing (only required for limited companies)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ISO Certification/(s)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b/>
                <w:bCs/>
                <w:color w:val="003366"/>
                <w:sz w:val="24"/>
                <w:szCs w:val="24"/>
              </w:rPr>
              <w:t>Documents Required for Approval (part of e-CLP)</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Loan Application Form</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e-CIB Report (individuals,   proprietors, partners, directors) / CIB Report (company)</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Visit report</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Business &amp; Financial   Appraisal report by approved company</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Age of business not less   than 3 years (NTN confirming)</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Overall debt-burden not   exceeding 50% of the projected cash flows for the first year</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Income Estimation / Salary   Slip (for individuals)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Audited Financial   Statements (last 3 years) (for businesses)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If unaudited, then   financial statements of last year at least and preferably for the last three   years (for businesses)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Projected accounts for the   next years for the financing tenor (for businesses)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Other bank's statements of   the business account(s), if available </w:t>
            </w:r>
            <w:r w:rsidRPr="00A027E0">
              <w:rPr>
                <w:rFonts w:ascii="Tahoma" w:eastAsia="Times New Roman" w:hAnsi="Tahoma" w:cs="Tahoma"/>
                <w:i/>
                <w:iCs/>
                <w:sz w:val="24"/>
                <w:szCs w:val="24"/>
              </w:rPr>
              <w:t>(not applicable for existing   customers)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Latest facility letters and   loan utilization figure from all banks </w:t>
            </w:r>
            <w:r w:rsidRPr="00A027E0">
              <w:rPr>
                <w:rFonts w:ascii="Tahoma" w:eastAsia="Times New Roman" w:hAnsi="Tahoma" w:cs="Tahoma"/>
                <w:i/>
                <w:iCs/>
                <w:sz w:val="24"/>
                <w:szCs w:val="24"/>
              </w:rPr>
              <w:t>(not applicable for existing   customers)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Age of sponsor (individual/sole   proprietor) not beyond 65 years at the maturity of loan</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Business not in negative   list</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b/>
                <w:bCs/>
                <w:color w:val="003366"/>
                <w:sz w:val="24"/>
                <w:szCs w:val="24"/>
              </w:rPr>
              <w:t>Post Approval Documents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Finance Agreement</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Letter of Authority to   recover installments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Personal Guarantee(s) of   borrower(s)/sponsors/directors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Initial Offer Letter</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Repayment schedule duly   accepted by the borrower</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 xml:space="preserve">Post-dated </w:t>
            </w:r>
            <w:proofErr w:type="spellStart"/>
            <w:r w:rsidRPr="00A027E0">
              <w:rPr>
                <w:rFonts w:ascii="Tahoma" w:eastAsia="Times New Roman" w:hAnsi="Tahoma" w:cs="Tahoma"/>
                <w:sz w:val="24"/>
                <w:szCs w:val="24"/>
              </w:rPr>
              <w:t>cheques</w:t>
            </w:r>
            <w:proofErr w:type="spellEnd"/>
            <w:r w:rsidRPr="00A027E0">
              <w:rPr>
                <w:rFonts w:ascii="Tahoma" w:eastAsia="Times New Roman" w:hAnsi="Tahoma" w:cs="Tahoma"/>
                <w:sz w:val="24"/>
                <w:szCs w:val="24"/>
              </w:rPr>
              <w:t xml:space="preserve"> for the   period of repayment</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Insurance policies &amp;   original premium paid receipts</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Letter of Hypothecation</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lastRenderedPageBreak/>
              <w:t>EPA Approval &amp; NEQ   Compliance (to be arranged from ESMS desk)</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Demand Promissory Note (on   stamp paper)*</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Undertaking </w:t>
            </w:r>
            <w:r w:rsidRPr="00A027E0">
              <w:rPr>
                <w:rFonts w:ascii="Arial" w:eastAsia="Times New Roman" w:hAnsi="Arial" w:cs="Arial"/>
                <w:sz w:val="24"/>
                <w:szCs w:val="24"/>
              </w:rPr>
              <w:br/>
            </w:r>
            <w:r w:rsidRPr="00A027E0">
              <w:rPr>
                <w:rFonts w:ascii="Tahoma" w:eastAsia="Times New Roman" w:hAnsi="Tahoma" w:cs="Tahoma"/>
                <w:sz w:val="24"/>
                <w:szCs w:val="24"/>
              </w:rPr>
              <w:t>  (stating that the funds shall be used for said purpose and any failure to   make payments would result in automatic debit of mentioned account)*</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b/>
                <w:bCs/>
                <w:color w:val="003366"/>
                <w:sz w:val="24"/>
                <w:szCs w:val="24"/>
              </w:rPr>
              <w:t>Collateral Related Documents: (if applicable)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Copy of title documents of   property / Passbook</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Latest PT-I of the property   to be mortgaged</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For constructed property,   NEC / NOC / permission to mortgage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Pre-mortgage legal opinion   from the bank's approved lawyer</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Evaluation of property by   PBA approved evaluator</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Agreement to Create   Mortgage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An undertaking from the   customer that completion certificate from concerned authority under  would be submitted by the borrower within 6   months from the disbursement of last tranche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Completion Certificate,   where applicable (however, upfront confirmation required from branch   regarding availability)</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Original Title   Deeds/Original Letter of Allotment/Transfer/Conveyance deed</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Approved site plan, if   available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Approved building plan, if   available (however, upfront confirmation required from branch regarding   availability)</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Letters from mortgagor   addressed to the Land/Revenue Department regarding the noting of mortgage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Non-encumbrance certificate   / Search Certificates / Permission to mortgage (whichever is applicable)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Evidence of marking of lien   with the concerned authority/society/land office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Charge registration form 10   (charge with SECP shall be registered within stipulated timeframe)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Mortgage deed (in case of   registered mortgage)</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Post-mortgage legal opinion</w:t>
            </w:r>
          </w:p>
        </w:tc>
      </w:tr>
      <w:tr w:rsidR="00A027E0" w:rsidRPr="00A027E0" w:rsidTr="00A027E0">
        <w:tc>
          <w:tcPr>
            <w:tcW w:w="9345" w:type="dxa"/>
            <w:tcBorders>
              <w:top w:val="single" w:sz="6" w:space="0" w:color="961C13"/>
              <w:left w:val="single" w:sz="6" w:space="0" w:color="961C13"/>
              <w:bottom w:val="single" w:sz="6" w:space="0" w:color="961C13"/>
              <w:right w:val="single" w:sz="6" w:space="0" w:color="961C13"/>
            </w:tcBorders>
            <w:shd w:val="clear" w:color="auto" w:fill="FFFFFF"/>
            <w:noWrap/>
            <w:tcMar>
              <w:top w:w="0" w:type="dxa"/>
              <w:left w:w="150" w:type="dxa"/>
              <w:bottom w:w="0" w:type="dxa"/>
              <w:right w:w="150" w:type="dxa"/>
            </w:tcMar>
            <w:hideMark/>
          </w:tcPr>
          <w:p w:rsidR="00A027E0" w:rsidRPr="00A027E0" w:rsidRDefault="00A027E0" w:rsidP="00A027E0">
            <w:pPr>
              <w:spacing w:before="100" w:beforeAutospacing="1" w:after="100" w:afterAutospacing="1" w:line="240" w:lineRule="auto"/>
              <w:rPr>
                <w:rFonts w:ascii="Arial" w:eastAsia="Times New Roman" w:hAnsi="Arial" w:cs="Arial"/>
                <w:sz w:val="24"/>
                <w:szCs w:val="24"/>
              </w:rPr>
            </w:pPr>
            <w:r w:rsidRPr="00A027E0">
              <w:rPr>
                <w:rFonts w:ascii="Tahoma" w:eastAsia="Times New Roman" w:hAnsi="Tahoma" w:cs="Tahoma"/>
                <w:sz w:val="24"/>
                <w:szCs w:val="24"/>
              </w:rPr>
              <w:t>* these forms are required   to claim refinance from SBP</w:t>
            </w:r>
          </w:p>
        </w:tc>
      </w:tr>
    </w:tbl>
    <w:p w:rsidR="00A027E0" w:rsidRDefault="00A027E0"/>
    <w:p w:rsidR="00A027E0" w:rsidRDefault="00A027E0">
      <w:r>
        <w:t>Registration Process</w:t>
      </w:r>
    </w:p>
    <w:p w:rsidR="00A027E0" w:rsidRDefault="00A027E0">
      <w:pPr>
        <w:rPr>
          <w:rFonts w:ascii="Tahoma" w:hAnsi="Tahoma" w:cs="Tahoma"/>
          <w:color w:val="6F7074"/>
          <w:shd w:val="clear" w:color="auto" w:fill="FFFFFF"/>
        </w:rPr>
      </w:pPr>
      <w:r>
        <w:rPr>
          <w:rFonts w:ascii="Tahoma" w:hAnsi="Tahoma" w:cs="Tahoma"/>
          <w:color w:val="6F7074"/>
          <w:shd w:val="clear" w:color="auto" w:fill="FFFFFF"/>
        </w:rPr>
        <w:t xml:space="preserve">Visit nearest Bank </w:t>
      </w:r>
      <w:proofErr w:type="spellStart"/>
      <w:r>
        <w:rPr>
          <w:rFonts w:ascii="Tahoma" w:hAnsi="Tahoma" w:cs="Tahoma"/>
          <w:color w:val="6F7074"/>
          <w:shd w:val="clear" w:color="auto" w:fill="FFFFFF"/>
        </w:rPr>
        <w:t>Alfalah</w:t>
      </w:r>
      <w:proofErr w:type="spellEnd"/>
      <w:r>
        <w:rPr>
          <w:rFonts w:ascii="Tahoma" w:hAnsi="Tahoma" w:cs="Tahoma"/>
          <w:color w:val="6F7074"/>
          <w:shd w:val="clear" w:color="auto" w:fill="FFFFFF"/>
        </w:rPr>
        <w:t xml:space="preserve"> branch or call on our helpline</w:t>
      </w:r>
    </w:p>
    <w:p w:rsidR="00A027E0" w:rsidRDefault="00A027E0">
      <w:pPr>
        <w:rPr>
          <w:rFonts w:ascii="Tahoma" w:hAnsi="Tahoma" w:cs="Tahoma"/>
          <w:color w:val="6F7074"/>
          <w:shd w:val="clear" w:color="auto" w:fill="FFFFFF"/>
        </w:rPr>
      </w:pPr>
    </w:p>
    <w:p w:rsidR="00A027E0" w:rsidRDefault="00A027E0">
      <w:pPr>
        <w:rPr>
          <w:rFonts w:ascii="Tahoma" w:hAnsi="Tahoma" w:cs="Tahoma"/>
          <w:color w:val="6F7074"/>
          <w:shd w:val="clear" w:color="auto" w:fill="FFFFFF"/>
        </w:rPr>
      </w:pPr>
      <w:r>
        <w:rPr>
          <w:rFonts w:ascii="Tahoma" w:hAnsi="Tahoma" w:cs="Tahoma"/>
          <w:color w:val="6F7074"/>
          <w:shd w:val="clear" w:color="auto" w:fill="FFFFFF"/>
        </w:rPr>
        <w:t>FAQs</w:t>
      </w:r>
    </w:p>
    <w:p w:rsidR="00A027E0" w:rsidRPr="00A027E0" w:rsidRDefault="00A027E0" w:rsidP="00A027E0">
      <w:pPr>
        <w:shd w:val="clear" w:color="auto" w:fill="FFFFFF"/>
        <w:spacing w:before="100" w:beforeAutospacing="1" w:after="100" w:afterAutospacing="1" w:line="240" w:lineRule="auto"/>
        <w:rPr>
          <w:rFonts w:ascii="Arial" w:eastAsia="Times New Roman" w:hAnsi="Arial" w:cs="Arial"/>
          <w:color w:val="6F7074"/>
          <w:sz w:val="24"/>
          <w:szCs w:val="24"/>
        </w:rPr>
      </w:pPr>
      <w:r w:rsidRPr="00A027E0">
        <w:rPr>
          <w:rFonts w:ascii="Tahoma" w:eastAsia="Times New Roman" w:hAnsi="Tahoma" w:cs="Tahoma"/>
          <w:b/>
          <w:bCs/>
          <w:color w:val="6F7074"/>
          <w:sz w:val="24"/>
          <w:szCs w:val="24"/>
        </w:rPr>
        <w:t>What will be the mark-up charged under this scheme?</w:t>
      </w:r>
      <w:r w:rsidRPr="00A027E0">
        <w:rPr>
          <w:rFonts w:ascii="Tahoma" w:eastAsia="Times New Roman" w:hAnsi="Tahoma" w:cs="Tahoma"/>
          <w:b/>
          <w:bCs/>
          <w:color w:val="6F7074"/>
          <w:sz w:val="24"/>
          <w:szCs w:val="24"/>
        </w:rPr>
        <w:br/>
      </w:r>
      <w:r w:rsidRPr="00A027E0">
        <w:rPr>
          <w:rFonts w:ascii="Tahoma" w:eastAsia="Times New Roman" w:hAnsi="Tahoma" w:cs="Tahoma"/>
          <w:color w:val="6F7074"/>
          <w:sz w:val="24"/>
          <w:szCs w:val="24"/>
        </w:rPr>
        <w:t>End user rate for borrowers under this scheme will be 5%.</w:t>
      </w:r>
    </w:p>
    <w:p w:rsidR="00A027E0" w:rsidRPr="00A027E0" w:rsidRDefault="00A027E0" w:rsidP="00A027E0">
      <w:pPr>
        <w:shd w:val="clear" w:color="auto" w:fill="FFFFFF"/>
        <w:spacing w:before="100" w:beforeAutospacing="1" w:after="100" w:afterAutospacing="1" w:line="240" w:lineRule="auto"/>
        <w:rPr>
          <w:rFonts w:ascii="Arial" w:eastAsia="Times New Roman" w:hAnsi="Arial" w:cs="Arial"/>
          <w:color w:val="6F7074"/>
          <w:sz w:val="24"/>
          <w:szCs w:val="24"/>
        </w:rPr>
      </w:pPr>
      <w:proofErr w:type="gramStart"/>
      <w:r w:rsidRPr="00A027E0">
        <w:rPr>
          <w:rFonts w:ascii="Tahoma" w:eastAsia="Times New Roman" w:hAnsi="Tahoma" w:cs="Tahoma"/>
          <w:b/>
          <w:bCs/>
          <w:color w:val="6F7074"/>
          <w:sz w:val="24"/>
          <w:szCs w:val="24"/>
        </w:rPr>
        <w:t>Can a household avail facility under this Scheme for payment of wages and salaries to their domestic employees?</w:t>
      </w:r>
      <w:proofErr w:type="gramEnd"/>
      <w:r w:rsidRPr="00A027E0">
        <w:rPr>
          <w:rFonts w:ascii="Tahoma" w:eastAsia="Times New Roman" w:hAnsi="Tahoma" w:cs="Tahoma"/>
          <w:b/>
          <w:bCs/>
          <w:color w:val="6F7074"/>
          <w:sz w:val="24"/>
          <w:szCs w:val="24"/>
        </w:rPr>
        <w:br/>
      </w:r>
      <w:r w:rsidRPr="00A027E0">
        <w:rPr>
          <w:rFonts w:ascii="Tahoma" w:eastAsia="Times New Roman" w:hAnsi="Tahoma" w:cs="Tahoma"/>
          <w:color w:val="6F7074"/>
          <w:sz w:val="24"/>
          <w:szCs w:val="24"/>
        </w:rPr>
        <w:t xml:space="preserve">The Scheme </w:t>
      </w:r>
      <w:proofErr w:type="gramStart"/>
      <w:r w:rsidRPr="00A027E0">
        <w:rPr>
          <w:rFonts w:ascii="Tahoma" w:eastAsia="Times New Roman" w:hAnsi="Tahoma" w:cs="Tahoma"/>
          <w:color w:val="6F7074"/>
          <w:sz w:val="24"/>
          <w:szCs w:val="24"/>
        </w:rPr>
        <w:t>is designed</w:t>
      </w:r>
      <w:proofErr w:type="gramEnd"/>
      <w:r w:rsidRPr="00A027E0">
        <w:rPr>
          <w:rFonts w:ascii="Tahoma" w:eastAsia="Times New Roman" w:hAnsi="Tahoma" w:cs="Tahoma"/>
          <w:color w:val="6F7074"/>
          <w:sz w:val="24"/>
          <w:szCs w:val="24"/>
        </w:rPr>
        <w:t xml:space="preserve"> for businesses to facilitate payment of wages and salaries to their workers and employees. The financing under the Scheme </w:t>
      </w:r>
      <w:proofErr w:type="gramStart"/>
      <w:r w:rsidRPr="00A027E0">
        <w:rPr>
          <w:rFonts w:ascii="Tahoma" w:eastAsia="Times New Roman" w:hAnsi="Tahoma" w:cs="Tahoma"/>
          <w:color w:val="6F7074"/>
          <w:sz w:val="24"/>
          <w:szCs w:val="24"/>
        </w:rPr>
        <w:t>is not meant</w:t>
      </w:r>
      <w:proofErr w:type="gramEnd"/>
      <w:r w:rsidRPr="00A027E0">
        <w:rPr>
          <w:rFonts w:ascii="Tahoma" w:eastAsia="Times New Roman" w:hAnsi="Tahoma" w:cs="Tahoma"/>
          <w:color w:val="6F7074"/>
          <w:sz w:val="24"/>
          <w:szCs w:val="24"/>
        </w:rPr>
        <w:t xml:space="preserve"> for consumer financing to households.</w:t>
      </w:r>
    </w:p>
    <w:p w:rsidR="00A027E0" w:rsidRPr="00A027E0" w:rsidRDefault="00A027E0" w:rsidP="00A027E0">
      <w:pPr>
        <w:shd w:val="clear" w:color="auto" w:fill="FFFFFF"/>
        <w:spacing w:before="100" w:beforeAutospacing="1" w:after="100" w:afterAutospacing="1" w:line="240" w:lineRule="auto"/>
        <w:rPr>
          <w:rFonts w:ascii="Arial" w:eastAsia="Times New Roman" w:hAnsi="Arial" w:cs="Arial"/>
          <w:color w:val="6F7074"/>
          <w:sz w:val="24"/>
          <w:szCs w:val="24"/>
        </w:rPr>
      </w:pPr>
      <w:r w:rsidRPr="00A027E0">
        <w:rPr>
          <w:rFonts w:ascii="Tahoma" w:eastAsia="Times New Roman" w:hAnsi="Tahoma" w:cs="Tahoma"/>
          <w:b/>
          <w:bCs/>
          <w:color w:val="6F7074"/>
          <w:sz w:val="24"/>
          <w:szCs w:val="24"/>
        </w:rPr>
        <w:t>Do the employers need to agree not to terminate any employees on their payroll effective April 1 regardless if they take funding in full or part of their payroll?</w:t>
      </w:r>
      <w:r w:rsidRPr="00A027E0">
        <w:rPr>
          <w:rFonts w:ascii="Tahoma" w:eastAsia="Times New Roman" w:hAnsi="Tahoma" w:cs="Tahoma"/>
          <w:b/>
          <w:bCs/>
          <w:color w:val="6F7074"/>
          <w:sz w:val="24"/>
          <w:szCs w:val="24"/>
        </w:rPr>
        <w:br/>
      </w:r>
      <w:r w:rsidRPr="00A027E0">
        <w:rPr>
          <w:rFonts w:ascii="Tahoma" w:eastAsia="Times New Roman" w:hAnsi="Tahoma" w:cs="Tahoma"/>
          <w:color w:val="6F7074"/>
          <w:sz w:val="24"/>
          <w:szCs w:val="24"/>
        </w:rPr>
        <w:lastRenderedPageBreak/>
        <w:t>Yes. The employer will undertake not to lay off employees/workers permanent, contractual, outsourced, daily wagers except in cases of disciplinary actions.</w:t>
      </w:r>
    </w:p>
    <w:p w:rsidR="00A027E0" w:rsidRPr="00A027E0" w:rsidRDefault="00A027E0" w:rsidP="00A027E0">
      <w:pPr>
        <w:shd w:val="clear" w:color="auto" w:fill="FFFFFF"/>
        <w:spacing w:before="100" w:beforeAutospacing="1" w:after="100" w:afterAutospacing="1" w:line="240" w:lineRule="auto"/>
        <w:rPr>
          <w:rFonts w:ascii="Arial" w:eastAsia="Times New Roman" w:hAnsi="Arial" w:cs="Arial"/>
          <w:color w:val="6F7074"/>
          <w:sz w:val="24"/>
          <w:szCs w:val="24"/>
        </w:rPr>
      </w:pPr>
      <w:r w:rsidRPr="00A027E0">
        <w:rPr>
          <w:rFonts w:ascii="Tahoma" w:eastAsia="Times New Roman" w:hAnsi="Tahoma" w:cs="Tahoma"/>
          <w:b/>
          <w:bCs/>
          <w:color w:val="6F7074"/>
          <w:sz w:val="24"/>
          <w:szCs w:val="24"/>
        </w:rPr>
        <w:t xml:space="preserve">Can the disbursement of the entire facility be taken in a single go due to payroll in excess of </w:t>
      </w:r>
      <w:proofErr w:type="spellStart"/>
      <w:r w:rsidRPr="00A027E0">
        <w:rPr>
          <w:rFonts w:ascii="Tahoma" w:eastAsia="Times New Roman" w:hAnsi="Tahoma" w:cs="Tahoma"/>
          <w:b/>
          <w:bCs/>
          <w:color w:val="6F7074"/>
          <w:sz w:val="24"/>
          <w:szCs w:val="24"/>
        </w:rPr>
        <w:t>Rs</w:t>
      </w:r>
      <w:proofErr w:type="spellEnd"/>
      <w:r w:rsidRPr="00A027E0">
        <w:rPr>
          <w:rFonts w:ascii="Tahoma" w:eastAsia="Times New Roman" w:hAnsi="Tahoma" w:cs="Tahoma"/>
          <w:b/>
          <w:bCs/>
          <w:color w:val="6F7074"/>
          <w:sz w:val="24"/>
          <w:szCs w:val="24"/>
        </w:rPr>
        <w:t>. 500M?</w:t>
      </w:r>
      <w:r w:rsidRPr="00A027E0">
        <w:rPr>
          <w:rFonts w:ascii="Tahoma" w:eastAsia="Times New Roman" w:hAnsi="Tahoma" w:cs="Tahoma"/>
          <w:b/>
          <w:bCs/>
          <w:color w:val="6F7074"/>
          <w:sz w:val="24"/>
          <w:szCs w:val="24"/>
        </w:rPr>
        <w:br/>
      </w:r>
      <w:r w:rsidRPr="00A027E0">
        <w:rPr>
          <w:rFonts w:ascii="Tahoma" w:eastAsia="Times New Roman" w:hAnsi="Tahoma" w:cs="Tahoma"/>
          <w:color w:val="6F7074"/>
          <w:sz w:val="24"/>
          <w:szCs w:val="24"/>
        </w:rPr>
        <w:t>The bank cannot make disbursement in single go. The bank will approve the limit in one go, however, the disbursement of financing facility shall be made equivalent to proportional monthly payroll size being financed by the bank for a period of three months i.e. April till June 2020.</w:t>
      </w:r>
    </w:p>
    <w:p w:rsidR="00A027E0" w:rsidRPr="00A027E0" w:rsidRDefault="00A027E0" w:rsidP="00A027E0">
      <w:pPr>
        <w:shd w:val="clear" w:color="auto" w:fill="FFFFFF"/>
        <w:spacing w:before="100" w:beforeAutospacing="1" w:after="100" w:afterAutospacing="1" w:line="240" w:lineRule="auto"/>
        <w:rPr>
          <w:rFonts w:ascii="Arial" w:eastAsia="Times New Roman" w:hAnsi="Arial" w:cs="Arial"/>
          <w:color w:val="6F7074"/>
          <w:sz w:val="24"/>
          <w:szCs w:val="24"/>
        </w:rPr>
      </w:pPr>
      <w:r w:rsidRPr="00A027E0">
        <w:rPr>
          <w:rFonts w:ascii="Tahoma" w:eastAsia="Times New Roman" w:hAnsi="Tahoma" w:cs="Tahoma"/>
          <w:b/>
          <w:bCs/>
          <w:color w:val="6F7074"/>
          <w:sz w:val="24"/>
          <w:szCs w:val="24"/>
        </w:rPr>
        <w:t>Does the layoff condition apply on both permanent and contractual workers?</w:t>
      </w:r>
      <w:r w:rsidRPr="00A027E0">
        <w:rPr>
          <w:rFonts w:ascii="Tahoma" w:eastAsia="Times New Roman" w:hAnsi="Tahoma" w:cs="Tahoma"/>
          <w:b/>
          <w:bCs/>
          <w:color w:val="6F7074"/>
          <w:sz w:val="24"/>
          <w:szCs w:val="24"/>
        </w:rPr>
        <w:br/>
      </w:r>
      <w:r w:rsidRPr="00A027E0">
        <w:rPr>
          <w:rFonts w:ascii="Tahoma" w:eastAsia="Times New Roman" w:hAnsi="Tahoma" w:cs="Tahoma"/>
          <w:color w:val="6F7074"/>
          <w:sz w:val="24"/>
          <w:szCs w:val="24"/>
        </w:rPr>
        <w:t>Yes. Layoff condition applies on permanent, contractual, daily wagers as well as outsourced employees/ workers.</w:t>
      </w:r>
    </w:p>
    <w:p w:rsidR="00A027E0" w:rsidRDefault="00A027E0">
      <w:bookmarkStart w:id="0" w:name="_GoBack"/>
      <w:bookmarkEnd w:id="0"/>
    </w:p>
    <w:sectPr w:rsidR="00A027E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27E0" w:rsidRDefault="00A027E0" w:rsidP="00A027E0">
      <w:pPr>
        <w:spacing w:after="0" w:line="240" w:lineRule="auto"/>
      </w:pPr>
      <w:r>
        <w:separator/>
      </w:r>
    </w:p>
  </w:endnote>
  <w:endnote w:type="continuationSeparator" w:id="0">
    <w:p w:rsidR="00A027E0" w:rsidRDefault="00A027E0" w:rsidP="00A02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27E0" w:rsidRDefault="00A02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27E0" w:rsidRDefault="00A027E0">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9594215</wp:posOffset>
              </wp:positionV>
              <wp:extent cx="7772400" cy="273050"/>
              <wp:effectExtent l="0" t="0" r="0" b="12700"/>
              <wp:wrapNone/>
              <wp:docPr id="1" name="MSIPCMece8411ebbcc234ef4b5c898" descr="{&quot;HashCode&quot;:191550567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A027E0" w:rsidRPr="00A027E0" w:rsidRDefault="00A027E0" w:rsidP="00A027E0">
                          <w:pPr>
                            <w:spacing w:after="0"/>
                            <w:rPr>
                              <w:rFonts w:ascii="Calibri" w:hAnsi="Calibri" w:cs="Calibri"/>
                              <w:color w:val="000000"/>
                              <w:sz w:val="14"/>
                            </w:rPr>
                          </w:pPr>
                          <w:r w:rsidRPr="00A027E0">
                            <w:rPr>
                              <w:rFonts w:ascii="Calibri" w:hAnsi="Calibri" w:cs="Calibri"/>
                              <w:color w:val="000000"/>
                              <w:sz w:val="14"/>
                            </w:rPr>
                            <w:t>[BAFL Document]</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ece8411ebbcc234ef4b5c898" o:spid="_x0000_s1026" type="#_x0000_t202" alt="{&quot;HashCode&quot;:1915505678,&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" o:allowincell="f" filled="f" stroked="f" strokeweight=".5pt">
              <v:fill o:detectmouseclick="t"/>
              <v:textbox inset="20pt,0,,0">
                <w:txbxContent>
                  <w:p w:rsidR="00A027E0" w:rsidRPr="00A027E0" w:rsidRDefault="00A027E0" w:rsidP="00A027E0">
                    <w:pPr>
                      <w:spacing w:after="0"/>
                      <w:rPr>
                        <w:rFonts w:ascii="Calibri" w:hAnsi="Calibri" w:cs="Calibri"/>
                        <w:color w:val="000000"/>
                        <w:sz w:val="14"/>
                      </w:rPr>
                    </w:pPr>
                    <w:r w:rsidRPr="00A027E0">
                      <w:rPr>
                        <w:rFonts w:ascii="Calibri" w:hAnsi="Calibri" w:cs="Calibri"/>
                        <w:color w:val="000000"/>
                        <w:sz w:val="14"/>
                      </w:rPr>
                      <w:t>[BAFL Document]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27E0" w:rsidRDefault="00A02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27E0" w:rsidRDefault="00A027E0" w:rsidP="00A027E0">
      <w:pPr>
        <w:spacing w:after="0" w:line="240" w:lineRule="auto"/>
      </w:pPr>
      <w:r>
        <w:separator/>
      </w:r>
    </w:p>
  </w:footnote>
  <w:footnote w:type="continuationSeparator" w:id="0">
    <w:p w:rsidR="00A027E0" w:rsidRDefault="00A027E0" w:rsidP="00A027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27E0" w:rsidRDefault="00A027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27E0" w:rsidRDefault="00A027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27E0" w:rsidRDefault="00A027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314C99"/>
    <w:multiLevelType w:val="multilevel"/>
    <w:tmpl w:val="B3F8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24EF0"/>
    <w:multiLevelType w:val="multilevel"/>
    <w:tmpl w:val="20C6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7E0"/>
    <w:rsid w:val="00442CC7"/>
    <w:rsid w:val="00A02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FBB94"/>
  <w15:chartTrackingRefBased/>
  <w15:docId w15:val="{C735DBBE-8AF5-4C25-AA9F-EDFB28B7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27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27E0"/>
    <w:rPr>
      <w:b/>
      <w:bCs/>
    </w:rPr>
  </w:style>
  <w:style w:type="paragraph" w:styleId="Header">
    <w:name w:val="header"/>
    <w:basedOn w:val="Normal"/>
    <w:link w:val="HeaderChar"/>
    <w:uiPriority w:val="99"/>
    <w:unhideWhenUsed/>
    <w:rsid w:val="00A027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7E0"/>
  </w:style>
  <w:style w:type="paragraph" w:styleId="Footer">
    <w:name w:val="footer"/>
    <w:basedOn w:val="Normal"/>
    <w:link w:val="FooterChar"/>
    <w:uiPriority w:val="99"/>
    <w:unhideWhenUsed/>
    <w:rsid w:val="00A027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2740136">
      <w:bodyDiv w:val="1"/>
      <w:marLeft w:val="0"/>
      <w:marRight w:val="0"/>
      <w:marTop w:val="0"/>
      <w:marBottom w:val="0"/>
      <w:divBdr>
        <w:top w:val="none" w:sz="0" w:space="0" w:color="auto"/>
        <w:left w:val="none" w:sz="0" w:space="0" w:color="auto"/>
        <w:bottom w:val="none" w:sz="0" w:space="0" w:color="auto"/>
        <w:right w:val="none" w:sz="0" w:space="0" w:color="auto"/>
      </w:divBdr>
    </w:div>
    <w:div w:id="1946964364">
      <w:bodyDiv w:val="1"/>
      <w:marLeft w:val="0"/>
      <w:marRight w:val="0"/>
      <w:marTop w:val="0"/>
      <w:marBottom w:val="0"/>
      <w:divBdr>
        <w:top w:val="none" w:sz="0" w:space="0" w:color="auto"/>
        <w:left w:val="none" w:sz="0" w:space="0" w:color="auto"/>
        <w:bottom w:val="none" w:sz="0" w:space="0" w:color="auto"/>
        <w:right w:val="none" w:sz="0" w:space="0" w:color="auto"/>
      </w:divBdr>
    </w:div>
    <w:div w:id="201572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1087</Words>
  <Characters>6199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Dilip Karacasia -25145</dc:creator>
  <cp:keywords/>
  <dc:description/>
  <cp:lastModifiedBy>Vivek Dilip Karacasia -25145</cp:lastModifiedBy>
  <cp:revision>1</cp:revision>
  <dcterms:created xsi:type="dcterms:W3CDTF">2024-09-27T06:56:00Z</dcterms:created>
  <dcterms:modified xsi:type="dcterms:W3CDTF">2024-09-27T06:57:00Z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c76d5-45ba-4a63-8701-27a8aa3796e4_Enabled">
    <vt:lpwstr>true</vt:lpwstr>
  </property>
  <property fmtid="{D5CDD505-2E9C-101B-9397-08002B2CF9AE}" pid="3" name="MSIP_Label_4f2c76d5-45ba-4a63-8701-27a8aa3796e4_SetDate">
    <vt:lpwstr>2024-09-27T06:57:00Z</vt:lpwstr>
  </property>
  <property fmtid="{D5CDD505-2E9C-101B-9397-08002B2CF9AE}" pid="4" name="MSIP_Label_4f2c76d5-45ba-4a63-8701-27a8aa3796e4_Method">
    <vt:lpwstr>Standard</vt:lpwstr>
  </property>
  <property fmtid="{D5CDD505-2E9C-101B-9397-08002B2CF9AE}" pid="5" name="MSIP_Label_4f2c76d5-45ba-4a63-8701-27a8aa3796e4_Name">
    <vt:lpwstr>Policy Document</vt:lpwstr>
  </property>
  <property fmtid="{D5CDD505-2E9C-101B-9397-08002B2CF9AE}" pid="6" name="MSIP_Label_4f2c76d5-45ba-4a63-8701-27a8aa3796e4_SiteId">
    <vt:lpwstr>2b4fe597-5658-4fa0-888b-881e4da6b121</vt:lpwstr>
  </property>
  <property fmtid="{D5CDD505-2E9C-101B-9397-08002B2CF9AE}" pid="7" name="MSIP_Label_4f2c76d5-45ba-4a63-8701-27a8aa3796e4_ActionId">
    <vt:lpwstr>841b774c-1bdd-4334-bf27-eb48ceb204b8</vt:lpwstr>
  </property>
  <property fmtid="{D5CDD505-2E9C-101B-9397-08002B2CF9AE}" pid="8" name="MSIP_Label_4f2c76d5-45ba-4a63-8701-27a8aa3796e4_ContentBits">
    <vt:lpwstr>2</vt:lpwstr>
  </property>
</Properties>
</file>