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969AA" w:rsidRPr="003B7E3D" w:rsidRDefault="003B7E3D">
      <w:pPr>
        <w:rPr>
          <w:b/>
        </w:rPr>
      </w:pPr>
      <w:r w:rsidRPr="003B7E3D">
        <w:rPr>
          <w:b/>
        </w:rPr>
        <w:t>Product Features</w:t>
      </w:r>
    </w:p>
    <w:p w:rsidR="003B7E3D" w:rsidRPr="003B7E3D" w:rsidRDefault="003B7E3D" w:rsidP="003B7E3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F7074"/>
          <w:sz w:val="24"/>
          <w:szCs w:val="24"/>
        </w:rPr>
      </w:pPr>
      <w:proofErr w:type="spellStart"/>
      <w:r w:rsidRPr="003B7E3D">
        <w:rPr>
          <w:rFonts w:ascii="Tahoma" w:eastAsia="Times New Roman" w:hAnsi="Tahoma" w:cs="Tahoma"/>
          <w:color w:val="6F7074"/>
          <w:sz w:val="24"/>
          <w:szCs w:val="24"/>
        </w:rPr>
        <w:t>Khayaal</w:t>
      </w:r>
      <w:proofErr w:type="spellEnd"/>
      <w:r w:rsidRPr="003B7E3D">
        <w:rPr>
          <w:rFonts w:ascii="Tahoma" w:eastAsia="Times New Roman" w:hAnsi="Tahoma" w:cs="Tahoma"/>
          <w:color w:val="6F7074"/>
          <w:sz w:val="24"/>
          <w:szCs w:val="24"/>
        </w:rPr>
        <w:t xml:space="preserve"> </w:t>
      </w:r>
      <w:proofErr w:type="spellStart"/>
      <w:r w:rsidRPr="003B7E3D">
        <w:rPr>
          <w:rFonts w:ascii="Tahoma" w:eastAsia="Times New Roman" w:hAnsi="Tahoma" w:cs="Tahoma"/>
          <w:color w:val="6F7074"/>
          <w:sz w:val="24"/>
          <w:szCs w:val="24"/>
        </w:rPr>
        <w:t>Rakhna</w:t>
      </w:r>
      <w:proofErr w:type="spellEnd"/>
      <w:r w:rsidRPr="003B7E3D">
        <w:rPr>
          <w:rFonts w:ascii="Tahoma" w:eastAsia="Times New Roman" w:hAnsi="Tahoma" w:cs="Tahoma"/>
          <w:color w:val="6F7074"/>
          <w:sz w:val="24"/>
          <w:szCs w:val="24"/>
        </w:rPr>
        <w:t xml:space="preserve"> Account works in accordance with </w:t>
      </w:r>
      <w:proofErr w:type="spellStart"/>
      <w:r w:rsidRPr="003B7E3D">
        <w:rPr>
          <w:rFonts w:ascii="Tahoma" w:eastAsia="Times New Roman" w:hAnsi="Tahoma" w:cs="Tahoma"/>
          <w:color w:val="6F7074"/>
          <w:sz w:val="24"/>
          <w:szCs w:val="24"/>
        </w:rPr>
        <w:t>Shari’ah</w:t>
      </w:r>
      <w:proofErr w:type="spellEnd"/>
      <w:r w:rsidRPr="003B7E3D">
        <w:rPr>
          <w:rFonts w:ascii="Tahoma" w:eastAsia="Times New Roman" w:hAnsi="Tahoma" w:cs="Tahoma"/>
          <w:color w:val="6F7074"/>
          <w:sz w:val="24"/>
          <w:szCs w:val="24"/>
        </w:rPr>
        <w:t xml:space="preserve"> principles and it can be opened with just </w:t>
      </w:r>
      <w:proofErr w:type="spellStart"/>
      <w:r w:rsidRPr="003B7E3D">
        <w:rPr>
          <w:rFonts w:ascii="Tahoma" w:eastAsia="Times New Roman" w:hAnsi="Tahoma" w:cs="Tahoma"/>
          <w:color w:val="6F7074"/>
          <w:sz w:val="24"/>
          <w:szCs w:val="24"/>
        </w:rPr>
        <w:t>Rs</w:t>
      </w:r>
      <w:proofErr w:type="spellEnd"/>
      <w:r w:rsidRPr="003B7E3D">
        <w:rPr>
          <w:rFonts w:ascii="Tahoma" w:eastAsia="Times New Roman" w:hAnsi="Tahoma" w:cs="Tahoma"/>
          <w:color w:val="6F7074"/>
          <w:sz w:val="24"/>
          <w:szCs w:val="24"/>
        </w:rPr>
        <w:t>. 100/- only.</w:t>
      </w:r>
    </w:p>
    <w:p w:rsidR="003B7E3D" w:rsidRPr="003B7E3D" w:rsidRDefault="003B7E3D" w:rsidP="003B7E3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F7074"/>
          <w:sz w:val="24"/>
          <w:szCs w:val="24"/>
        </w:rPr>
      </w:pPr>
      <w:r w:rsidRPr="003B7E3D">
        <w:rPr>
          <w:rFonts w:ascii="Tahoma" w:eastAsia="Times New Roman" w:hAnsi="Tahoma" w:cs="Tahoma"/>
          <w:b/>
          <w:bCs/>
          <w:color w:val="003366"/>
          <w:sz w:val="24"/>
          <w:szCs w:val="24"/>
          <w:u w:val="single"/>
        </w:rPr>
        <w:t>Product Feature / Benefits / Unique Selling Points:</w:t>
      </w:r>
      <w:r w:rsidRPr="003B7E3D">
        <w:rPr>
          <w:rFonts w:ascii="Tahoma" w:eastAsia="Times New Roman" w:hAnsi="Tahoma" w:cs="Tahoma"/>
          <w:b/>
          <w:bCs/>
          <w:color w:val="6F7074"/>
          <w:sz w:val="24"/>
          <w:szCs w:val="24"/>
          <w:u w:val="single"/>
        </w:rPr>
        <w:br/>
      </w:r>
    </w:p>
    <w:p w:rsidR="003B7E3D" w:rsidRPr="003B7E3D" w:rsidRDefault="003B7E3D" w:rsidP="003B7E3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F7074"/>
          <w:sz w:val="23"/>
          <w:szCs w:val="23"/>
        </w:rPr>
      </w:pPr>
      <w:r w:rsidRPr="003B7E3D">
        <w:rPr>
          <w:rFonts w:ascii="Tahoma" w:eastAsia="Times New Roman" w:hAnsi="Tahoma" w:cs="Tahoma"/>
          <w:color w:val="6F7074"/>
          <w:sz w:val="24"/>
          <w:szCs w:val="24"/>
        </w:rPr>
        <w:t xml:space="preserve">Minimum initial deposit requirement of account opening is </w:t>
      </w:r>
      <w:proofErr w:type="spellStart"/>
      <w:r w:rsidRPr="003B7E3D">
        <w:rPr>
          <w:rFonts w:ascii="Tahoma" w:eastAsia="Times New Roman" w:hAnsi="Tahoma" w:cs="Tahoma"/>
          <w:color w:val="6F7074"/>
          <w:sz w:val="24"/>
          <w:szCs w:val="24"/>
        </w:rPr>
        <w:t>Rs</w:t>
      </w:r>
      <w:proofErr w:type="spellEnd"/>
      <w:r w:rsidRPr="003B7E3D">
        <w:rPr>
          <w:rFonts w:ascii="Tahoma" w:eastAsia="Times New Roman" w:hAnsi="Tahoma" w:cs="Tahoma"/>
          <w:color w:val="6F7074"/>
          <w:sz w:val="24"/>
          <w:szCs w:val="24"/>
        </w:rPr>
        <w:t xml:space="preserve"> 100 only*</w:t>
      </w:r>
    </w:p>
    <w:p w:rsidR="003B7E3D" w:rsidRPr="003B7E3D" w:rsidRDefault="003B7E3D" w:rsidP="003B7E3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F7074"/>
          <w:sz w:val="23"/>
          <w:szCs w:val="23"/>
        </w:rPr>
      </w:pPr>
      <w:r w:rsidRPr="003B7E3D">
        <w:rPr>
          <w:rFonts w:ascii="Tahoma" w:eastAsia="Times New Roman" w:hAnsi="Tahoma" w:cs="Tahoma"/>
          <w:color w:val="6F7074"/>
          <w:sz w:val="24"/>
          <w:szCs w:val="24"/>
        </w:rPr>
        <w:t>No minimum and maximum balance limit for profit eligibility</w:t>
      </w:r>
    </w:p>
    <w:p w:rsidR="003B7E3D" w:rsidRPr="003B7E3D" w:rsidRDefault="003B7E3D" w:rsidP="003B7E3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F7074"/>
          <w:sz w:val="23"/>
          <w:szCs w:val="23"/>
        </w:rPr>
      </w:pPr>
      <w:r w:rsidRPr="003B7E3D">
        <w:rPr>
          <w:rFonts w:ascii="Tahoma" w:eastAsia="Times New Roman" w:hAnsi="Tahoma" w:cs="Tahoma"/>
          <w:color w:val="6F7074"/>
          <w:sz w:val="24"/>
          <w:szCs w:val="24"/>
        </w:rPr>
        <w:t>Profit is calculated on average balance of the month and paid semi-annually</w:t>
      </w:r>
    </w:p>
    <w:p w:rsidR="003B7E3D" w:rsidRPr="003B7E3D" w:rsidRDefault="003B7E3D" w:rsidP="003B7E3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F7074"/>
          <w:sz w:val="23"/>
          <w:szCs w:val="23"/>
        </w:rPr>
      </w:pPr>
      <w:r w:rsidRPr="003B7E3D">
        <w:rPr>
          <w:rFonts w:ascii="Tahoma" w:eastAsia="Times New Roman" w:hAnsi="Tahoma" w:cs="Tahoma"/>
          <w:color w:val="6F7074"/>
          <w:sz w:val="24"/>
          <w:szCs w:val="24"/>
        </w:rPr>
        <w:t>No restriction on number of deposit or withdrawal transactions</w:t>
      </w:r>
    </w:p>
    <w:p w:rsidR="003B7E3D" w:rsidRPr="003B7E3D" w:rsidRDefault="003B7E3D" w:rsidP="003B7E3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F7074"/>
          <w:sz w:val="23"/>
          <w:szCs w:val="23"/>
        </w:rPr>
      </w:pPr>
      <w:r w:rsidRPr="003B7E3D">
        <w:rPr>
          <w:rFonts w:ascii="Tahoma" w:eastAsia="Times New Roman" w:hAnsi="Tahoma" w:cs="Tahoma"/>
          <w:color w:val="6F7074"/>
          <w:sz w:val="24"/>
          <w:szCs w:val="24"/>
        </w:rPr>
        <w:t>Single tier account</w:t>
      </w:r>
    </w:p>
    <w:p w:rsidR="003B7E3D" w:rsidRPr="003B7E3D" w:rsidRDefault="003B7E3D" w:rsidP="003B7E3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F7074"/>
          <w:sz w:val="24"/>
          <w:szCs w:val="24"/>
        </w:rPr>
      </w:pPr>
      <w:r w:rsidRPr="003B7E3D">
        <w:rPr>
          <w:rFonts w:ascii="Arial" w:eastAsia="Times New Roman" w:hAnsi="Arial" w:cs="Arial"/>
          <w:color w:val="6F7074"/>
          <w:sz w:val="24"/>
          <w:szCs w:val="24"/>
        </w:rPr>
        <w:t> </w:t>
      </w:r>
    </w:p>
    <w:p w:rsidR="003B7E3D" w:rsidRPr="003B7E3D" w:rsidRDefault="003B7E3D">
      <w:pPr>
        <w:rPr>
          <w:b/>
        </w:rPr>
      </w:pPr>
      <w:r w:rsidRPr="003B7E3D">
        <w:rPr>
          <w:b/>
        </w:rPr>
        <w:t>Target Market</w:t>
      </w:r>
    </w:p>
    <w:p w:rsidR="003B7E3D" w:rsidRDefault="003B7E3D">
      <w:pPr>
        <w:rPr>
          <w:rFonts w:ascii="Tahoma" w:hAnsi="Tahoma" w:cs="Tahoma"/>
          <w:color w:val="6F7074"/>
          <w:shd w:val="clear" w:color="auto" w:fill="FFFFFF"/>
        </w:rPr>
      </w:pPr>
      <w:r>
        <w:rPr>
          <w:rFonts w:ascii="Tahoma" w:hAnsi="Tahoma" w:cs="Tahoma"/>
          <w:color w:val="6F7074"/>
          <w:shd w:val="clear" w:color="auto" w:fill="FFFFFF"/>
        </w:rPr>
        <w:t xml:space="preserve">The target market for </w:t>
      </w:r>
      <w:proofErr w:type="spellStart"/>
      <w:r>
        <w:rPr>
          <w:rFonts w:ascii="Tahoma" w:hAnsi="Tahoma" w:cs="Tahoma"/>
          <w:color w:val="6F7074"/>
          <w:shd w:val="clear" w:color="auto" w:fill="FFFFFF"/>
        </w:rPr>
        <w:t>Khayaal</w:t>
      </w:r>
      <w:proofErr w:type="spellEnd"/>
      <w:r>
        <w:rPr>
          <w:rFonts w:ascii="Tahoma" w:hAnsi="Tahoma" w:cs="Tahoma"/>
          <w:color w:val="6F7074"/>
          <w:shd w:val="clear" w:color="auto" w:fill="FFFFFF"/>
        </w:rPr>
        <w:t xml:space="preserve"> </w:t>
      </w:r>
      <w:proofErr w:type="spellStart"/>
      <w:r>
        <w:rPr>
          <w:rFonts w:ascii="Tahoma" w:hAnsi="Tahoma" w:cs="Tahoma"/>
          <w:color w:val="6F7074"/>
          <w:shd w:val="clear" w:color="auto" w:fill="FFFFFF"/>
        </w:rPr>
        <w:t>Rakhna</w:t>
      </w:r>
      <w:proofErr w:type="spellEnd"/>
      <w:r>
        <w:rPr>
          <w:rFonts w:ascii="Tahoma" w:hAnsi="Tahoma" w:cs="Tahoma"/>
          <w:color w:val="6F7074"/>
          <w:shd w:val="clear" w:color="auto" w:fill="FFFFFF"/>
        </w:rPr>
        <w:t xml:space="preserve"> Account is individuals, sole proprietors, traders, NGOs, business entities etc.</w:t>
      </w:r>
    </w:p>
    <w:p w:rsidR="003B7E3D" w:rsidRDefault="003B7E3D">
      <w:pPr>
        <w:rPr>
          <w:rFonts w:ascii="Tahoma" w:hAnsi="Tahoma" w:cs="Tahoma"/>
          <w:color w:val="6F7074"/>
          <w:shd w:val="clear" w:color="auto" w:fill="FFFFFF"/>
        </w:rPr>
      </w:pPr>
    </w:p>
    <w:p w:rsidR="003B7E3D" w:rsidRPr="003B7E3D" w:rsidRDefault="003B7E3D">
      <w:pPr>
        <w:rPr>
          <w:rFonts w:ascii="Tahoma" w:hAnsi="Tahoma" w:cs="Tahoma"/>
          <w:b/>
          <w:color w:val="6F7074"/>
          <w:shd w:val="clear" w:color="auto" w:fill="FFFFFF"/>
        </w:rPr>
      </w:pPr>
      <w:bookmarkStart w:id="0" w:name="_GoBack"/>
      <w:r w:rsidRPr="003B7E3D">
        <w:rPr>
          <w:rFonts w:ascii="Tahoma" w:hAnsi="Tahoma" w:cs="Tahoma"/>
          <w:b/>
          <w:color w:val="6F7074"/>
          <w:shd w:val="clear" w:color="auto" w:fill="FFFFFF"/>
        </w:rPr>
        <w:t xml:space="preserve">Eligibility Criteria </w:t>
      </w:r>
    </w:p>
    <w:bookmarkEnd w:id="0"/>
    <w:p w:rsidR="003B7E3D" w:rsidRDefault="003B7E3D" w:rsidP="003B7E3D">
      <w:pPr>
        <w:pStyle w:val="NormalWeb"/>
        <w:numPr>
          <w:ilvl w:val="0"/>
          <w:numId w:val="2"/>
        </w:numPr>
        <w:shd w:val="clear" w:color="auto" w:fill="FFFFFF"/>
        <w:ind w:left="0"/>
        <w:rPr>
          <w:rFonts w:ascii="Arial" w:hAnsi="Arial" w:cs="Arial"/>
          <w:color w:val="6F7074"/>
        </w:rPr>
      </w:pPr>
      <w:r>
        <w:rPr>
          <w:rFonts w:ascii="Tahoma" w:hAnsi="Tahoma" w:cs="Tahoma"/>
          <w:color w:val="6F7074"/>
        </w:rPr>
        <w:t>Meeting eligibility &amp; KYC criteria as per Bank’s guidelines.</w:t>
      </w:r>
    </w:p>
    <w:p w:rsidR="003B7E3D" w:rsidRDefault="003B7E3D" w:rsidP="003B7E3D">
      <w:pPr>
        <w:pStyle w:val="NormalWeb"/>
        <w:numPr>
          <w:ilvl w:val="0"/>
          <w:numId w:val="2"/>
        </w:numPr>
        <w:shd w:val="clear" w:color="auto" w:fill="FFFFFF"/>
        <w:ind w:left="0"/>
        <w:rPr>
          <w:rFonts w:ascii="Arial" w:hAnsi="Arial" w:cs="Arial"/>
          <w:color w:val="6F7074"/>
        </w:rPr>
      </w:pPr>
      <w:r>
        <w:rPr>
          <w:rFonts w:ascii="Tahoma" w:hAnsi="Tahoma" w:cs="Tahoma"/>
          <w:color w:val="6F7074"/>
        </w:rPr>
        <w:t>Documents requirement as per normal checking account opening for Individuals / Sole proprietors / Company / Partnership / Proprietor / NGOs / Clubs / Traders etc.</w:t>
      </w:r>
    </w:p>
    <w:p w:rsidR="003B7E3D" w:rsidRDefault="003B7E3D" w:rsidP="003B7E3D">
      <w:pPr>
        <w:pStyle w:val="NormalWeb"/>
        <w:numPr>
          <w:ilvl w:val="0"/>
          <w:numId w:val="2"/>
        </w:numPr>
        <w:shd w:val="clear" w:color="auto" w:fill="FFFFFF"/>
        <w:ind w:left="0"/>
        <w:rPr>
          <w:rFonts w:ascii="Arial" w:hAnsi="Arial" w:cs="Arial"/>
          <w:color w:val="6F7074"/>
        </w:rPr>
      </w:pPr>
      <w:r>
        <w:rPr>
          <w:rFonts w:ascii="Tahoma" w:hAnsi="Tahoma" w:cs="Tahoma"/>
          <w:color w:val="6F7074"/>
        </w:rPr>
        <w:t xml:space="preserve">Institutions, Corporations and Firms whose businesses are not </w:t>
      </w:r>
      <w:proofErr w:type="spellStart"/>
      <w:r>
        <w:rPr>
          <w:rFonts w:ascii="Tahoma" w:hAnsi="Tahoma" w:cs="Tahoma"/>
          <w:color w:val="6F7074"/>
        </w:rPr>
        <w:t>Shari’ah</w:t>
      </w:r>
      <w:proofErr w:type="spellEnd"/>
      <w:r>
        <w:rPr>
          <w:rFonts w:ascii="Tahoma" w:hAnsi="Tahoma" w:cs="Tahoma"/>
          <w:color w:val="6F7074"/>
        </w:rPr>
        <w:t xml:space="preserve"> compliant are not eligible</w:t>
      </w:r>
    </w:p>
    <w:p w:rsidR="003B7E3D" w:rsidRDefault="003B7E3D"/>
    <w:sectPr w:rsidR="003B7E3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B7E3D" w:rsidRDefault="003B7E3D" w:rsidP="003B7E3D">
      <w:pPr>
        <w:spacing w:after="0" w:line="240" w:lineRule="auto"/>
      </w:pPr>
      <w:r>
        <w:separator/>
      </w:r>
    </w:p>
  </w:endnote>
  <w:endnote w:type="continuationSeparator" w:id="0">
    <w:p w:rsidR="003B7E3D" w:rsidRDefault="003B7E3D" w:rsidP="003B7E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B7E3D" w:rsidRDefault="003B7E3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B7E3D" w:rsidRDefault="003B7E3D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>
              <wp:simplePos x="0" y="0"/>
              <wp:positionH relativeFrom="page">
                <wp:posOffset>0</wp:posOffset>
              </wp:positionH>
              <wp:positionV relativeFrom="page">
                <wp:posOffset>9594215</wp:posOffset>
              </wp:positionV>
              <wp:extent cx="7772400" cy="273050"/>
              <wp:effectExtent l="0" t="0" r="0" b="12700"/>
              <wp:wrapNone/>
              <wp:docPr id="1" name="MSIPCMad27474485a5242859a54e26" descr="{&quot;HashCode&quot;:1915505678,&quot;Height&quot;:792.0,&quot;Width&quot;:612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:rsidR="003B7E3D" w:rsidRPr="003B7E3D" w:rsidRDefault="003B7E3D" w:rsidP="003B7E3D">
                          <w:pPr>
                            <w:spacing w:after="0"/>
                            <w:rPr>
                              <w:rFonts w:ascii="Calibri" w:hAnsi="Calibri" w:cs="Calibri"/>
                              <w:color w:val="000000"/>
                              <w:sz w:val="14"/>
                            </w:rPr>
                          </w:pPr>
                          <w:r w:rsidRPr="003B7E3D">
                            <w:rPr>
                              <w:rFonts w:ascii="Calibri" w:hAnsi="Calibri" w:cs="Calibri"/>
                              <w:color w:val="000000"/>
                              <w:sz w:val="14"/>
                            </w:rPr>
                            <w:t>[BAFL Document]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MSIPCMad27474485a5242859a54e26" o:spid="_x0000_s1026" type="#_x0000_t202" alt="{&quot;HashCode&quot;:1915505678,&quot;Height&quot;:792.0,&quot;Width&quot;:612.0,&quot;Placement&quot;:&quot;Footer&quot;,&quot;Index&quot;:&quot;Primary&quot;,&quot;Section&quot;:1,&quot;Top&quot;:0.0,&quot;Left&quot;:0.0}" style="position:absolute;margin-left:0;margin-top:755.45pt;width:612pt;height:21.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" o:allowincell="f" filled="f" stroked="f" strokeweight=".5pt">
              <v:fill o:detectmouseclick="t"/>
              <v:textbox inset="20pt,0,,0">
                <w:txbxContent>
                  <w:p w:rsidR="003B7E3D" w:rsidRPr="003B7E3D" w:rsidRDefault="003B7E3D" w:rsidP="003B7E3D">
                    <w:pPr>
                      <w:spacing w:after="0"/>
                      <w:rPr>
                        <w:rFonts w:ascii="Calibri" w:hAnsi="Calibri" w:cs="Calibri"/>
                        <w:color w:val="000000"/>
                        <w:sz w:val="14"/>
                      </w:rPr>
                    </w:pPr>
                    <w:r w:rsidRPr="003B7E3D">
                      <w:rPr>
                        <w:rFonts w:ascii="Calibri" w:hAnsi="Calibri" w:cs="Calibri"/>
                        <w:color w:val="000000"/>
                        <w:sz w:val="14"/>
                      </w:rPr>
                      <w:t>[BAFL Document]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B7E3D" w:rsidRDefault="003B7E3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B7E3D" w:rsidRDefault="003B7E3D" w:rsidP="003B7E3D">
      <w:pPr>
        <w:spacing w:after="0" w:line="240" w:lineRule="auto"/>
      </w:pPr>
      <w:r>
        <w:separator/>
      </w:r>
    </w:p>
  </w:footnote>
  <w:footnote w:type="continuationSeparator" w:id="0">
    <w:p w:rsidR="003B7E3D" w:rsidRDefault="003B7E3D" w:rsidP="003B7E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B7E3D" w:rsidRDefault="003B7E3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B7E3D" w:rsidRDefault="003B7E3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B7E3D" w:rsidRDefault="003B7E3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0B07B0"/>
    <w:multiLevelType w:val="multilevel"/>
    <w:tmpl w:val="2B666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E45521"/>
    <w:multiLevelType w:val="multilevel"/>
    <w:tmpl w:val="36083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7E3D"/>
    <w:rsid w:val="003B7E3D"/>
    <w:rsid w:val="00D969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C22CB5"/>
  <w15:chartTrackingRefBased/>
  <w15:docId w15:val="{81044A61-7159-44B9-AC26-4777BE0DB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B7E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B7E3D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3B7E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7E3D"/>
  </w:style>
  <w:style w:type="paragraph" w:styleId="Footer">
    <w:name w:val="footer"/>
    <w:basedOn w:val="Normal"/>
    <w:link w:val="FooterChar"/>
    <w:uiPriority w:val="99"/>
    <w:unhideWhenUsed/>
    <w:rsid w:val="003B7E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7E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552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73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142</Words>
  <Characters>812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 Dilip Karacasia -25145</dc:creator>
  <cp:keywords/>
  <dc:description/>
  <cp:lastModifiedBy>Vivek Dilip Karacasia -25145</cp:lastModifiedBy>
  <cp:revision>1</cp:revision>
  <dcterms:created xsi:type="dcterms:W3CDTF">2024-09-26T10:32:00Z</dcterms:created>
  <dcterms:modified xsi:type="dcterms:W3CDTF">2024-09-26T10:32:00Z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f2c76d5-45ba-4a63-8701-27a8aa3796e4_Enabled">
    <vt:lpwstr>true</vt:lpwstr>
  </property>
  <property fmtid="{D5CDD505-2E9C-101B-9397-08002B2CF9AE}" pid="3" name="MSIP_Label_4f2c76d5-45ba-4a63-8701-27a8aa3796e4_SetDate">
    <vt:lpwstr>2024-09-26T10:32:55Z</vt:lpwstr>
  </property>
  <property fmtid="{D5CDD505-2E9C-101B-9397-08002B2CF9AE}" pid="4" name="MSIP_Label_4f2c76d5-45ba-4a63-8701-27a8aa3796e4_Method">
    <vt:lpwstr>Standard</vt:lpwstr>
  </property>
  <property fmtid="{D5CDD505-2E9C-101B-9397-08002B2CF9AE}" pid="5" name="MSIP_Label_4f2c76d5-45ba-4a63-8701-27a8aa3796e4_Name">
    <vt:lpwstr>Policy Document</vt:lpwstr>
  </property>
  <property fmtid="{D5CDD505-2E9C-101B-9397-08002B2CF9AE}" pid="6" name="MSIP_Label_4f2c76d5-45ba-4a63-8701-27a8aa3796e4_SiteId">
    <vt:lpwstr>2b4fe597-5658-4fa0-888b-881e4da6b121</vt:lpwstr>
  </property>
  <property fmtid="{D5CDD505-2E9C-101B-9397-08002B2CF9AE}" pid="7" name="MSIP_Label_4f2c76d5-45ba-4a63-8701-27a8aa3796e4_ActionId">
    <vt:lpwstr>64e5fb02-c05f-49f4-aa2c-558333137f1f</vt:lpwstr>
  </property>
  <property fmtid="{D5CDD505-2E9C-101B-9397-08002B2CF9AE}" pid="8" name="MSIP_Label_4f2c76d5-45ba-4a63-8701-27a8aa3796e4_ContentBits">
    <vt:lpwstr>2</vt:lpwstr>
  </property>
</Properties>
</file>