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</w:p>
    <w:p>
      <w:pPr>
        <w:pStyle w:val="Heading1"/>
      </w:pPr>
      <w:bookmarkStart w:id="20" w:name="X70253688a2d5fbf37c487baa3822f4e36a23d68"/>
      <w:r>
        <w:t xml:space="preserve">Poster Presenter Guide — GPU Monte Carlo Option Pricing (poster_v3)</w:t>
      </w:r>
      <w:bookmarkEnd w:id="20"/>
    </w:p>
    <w:p>
      <w:pPr>
        <w:pStyle w:val="FirstParagraph"/>
      </w:pPr>
      <w:r>
        <w:rPr>
          <w:i/>
        </w:rPr>
        <w:t xml:space="preserve">Layout note: v3 has no roofline panel, no bottom stat band, and no kernel cards in the overview. Your "big numbers" all live in the CONCLUSIONS panel (right column, bottom) — end your tour there.</w:t>
      </w:r>
    </w:p>
    <w:p>
      <w:pPr>
        <w:pStyle w:val="Heading2"/>
      </w:pPr>
      <w:bookmarkStart w:id="21" w:name="the-60-second-pitch"/>
      <w:r>
        <w:t xml:space="preserve">The 60-second pitch</w:t>
      </w:r>
      <w:bookmarkEnd w:id="21"/>
    </w:p>
    <w:p>
      <w:pPr>
        <w:pStyle w:val="BlockText"/>
      </w:pPr>
      <w:r>
        <w:t xml:space="preserve">"Monte Carlo is the standard way to price options, but its error shrinks only as 1/√N — so you need tens of millions of simulated paths, and a CPU takes seconds per price. Each path is independent, which makes this a textbook GPU problem. We built three CUDA kernels, each isolating one performance lesson. The</w:t>
      </w:r>
      <w:r>
        <w:t xml:space="preserve"> </w:t>
      </w:r>
      <w:r>
        <w:rPr>
          <w:b/>
        </w:rPr>
        <w:t xml:space="preserve">naive</w:t>
      </w:r>
      <w:r>
        <w:t xml:space="preserve"> </w:t>
      </w:r>
      <w:r>
        <w:t xml:space="preserve">kernel gives every path its own thread and atomicAdd — the profiler shows the SMs doing useful work only 2.8% of the time, because millions of atomics serialize in L2. The</w:t>
      </w:r>
      <w:r>
        <w:t xml:space="preserve"> </w:t>
      </w:r>
      <w:r>
        <w:rPr>
          <w:b/>
        </w:rPr>
        <w:t xml:space="preserve">shared</w:t>
      </w:r>
      <w:r>
        <w:t xml:space="preserve"> </w:t>
      </w:r>
      <w:r>
        <w:t xml:space="preserve">kernel fixes that with a warp-shuffle + shared-memory reduction: one atomic per block instead of two per path, and SM throughput jumps to 79%. The</w:t>
      </w:r>
      <w:r>
        <w:t xml:space="preserve"> </w:t>
      </w:r>
      <w:r>
        <w:rPr>
          <w:b/>
        </w:rPr>
        <w:t xml:space="preserve">antithetic</w:t>
      </w:r>
      <w:r>
        <w:t xml:space="preserve"> </w:t>
      </w:r>
      <w:r>
        <w:t xml:space="preserve">kernel then halves the variance for free by mirroring every random draw. The change that mattered most was the</w:t>
      </w:r>
      <w:r>
        <w:t xml:space="preserve"> </w:t>
      </w:r>
      <w:r>
        <w:rPr>
          <w:b/>
        </w:rPr>
        <w:t xml:space="preserve">grid-stride refactor</w:t>
      </w:r>
      <w:r>
        <w:t xml:space="preserve">: a fixed 16K-thread grid striding over paths makes RNG state O(threads) instead of O(N) — init gets 65× cheaper and the kernels flip from memory-bound to compute-bound. End result:</w:t>
      </w:r>
      <w:r>
        <w:t xml:space="preserve"> </w:t>
      </w:r>
      <w:r>
        <w:rPr>
          <w:b/>
        </w:rPr>
        <w:t xml:space="preserve">382× end-to-end over a single-core CPU at 10 million paths, 980× at 50 million</w:t>
      </w:r>
      <w:r>
        <w:t xml:space="preserve">, every run validated against the closed-form Black–Scholes price."</w:t>
      </w:r>
    </w:p>
    <w:p>
      <w:pPr>
        <w:pStyle w:val="Heading2"/>
      </w:pPr>
      <w:bookmarkStart w:id="22" w:name="walking-order-v3-layout"/>
      <w:r>
        <w:t xml:space="preserve">Walking order (v3 layout)</w:t>
      </w:r>
      <w:bookmarkEnd w:id="22"/>
    </w:p>
    <w:p>
      <w:pPr>
        <w:pStyle w:val="FirstParagraph"/>
      </w:pPr>
      <w:r>
        <w:t xml:space="preserve">Start top-left, finish bottom-right: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PROJECT OVERVIEW</w:t>
      </w:r>
      <w:r>
        <w:t xml:space="preserve"> </w:t>
      </w:r>
      <w:r>
        <w:t xml:space="preserve">(top-left) — problem, ground truth 10.4506, honest end-to-end methodology.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THREE KERNELS — WHERE THEY DIFFER</w:t>
      </w:r>
      <w:r>
        <w:t xml:space="preserve"> </w:t>
      </w:r>
      <w:r>
        <w:t xml:space="preserve">(top-middle diagram) — your best visual: three columns, the only difference is how results are summed. Point at "compute SM = 2.8% / 79% / 76%" at the bottom of each card.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1 · mc_naive</w:t>
      </w:r>
      <w:r>
        <w:t xml:space="preserve"> </w:t>
      </w:r>
      <w:r>
        <w:t xml:space="preserve">(left) — "94% occupancy but 2.8% compute: occupancy isn't utilization."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2 · mc_shared</w:t>
      </w:r>
      <w:r>
        <w:t xml:space="preserve"> </w:t>
      </w:r>
      <w:r>
        <w:t xml:space="preserve">(left) — "Atomics go from ~2·N to ~128; the reduction-tree diagram below is the whole trick."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3 · mc_antithetic</w:t>
      </w:r>
      <w:r>
        <w:t xml:space="preserve"> </w:t>
      </w:r>
      <w:r>
        <w:t xml:space="preserve">(left) — "Pair +Z with −Z, noise cancels: half the variance for one extra exp()."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4 · GRID-STRIDE REFACTOR (KEY)</w:t>
      </w:r>
      <w:r>
        <w:t xml:space="preserve"> </w:t>
      </w:r>
      <w:r>
        <w:t xml:space="preserve">(middle) — "The table is before/after: RNG init 44.6 ms → 0.68 ms. Biggest single win."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BENCHMARK — THE RUNS</w:t>
      </w:r>
      <w:r>
        <w:t xml:space="preserve"> </w:t>
      </w:r>
      <w:r>
        <w:t xml:space="preserve">(middle) — say "median of 5 runs, warm-up discarded" before anyone asks.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RESULTS — END-TO-END SPEED-UP / THROUGHPUT</w:t>
      </w:r>
      <w:r>
        <w:t xml:space="preserve"> </w:t>
      </w:r>
      <w:r>
        <w:t xml:space="preserve">(middle) — bar chart: 10× naive vs 348×/382× optimized at 10⁷; line chart: naive flatlines at ≈415 M paths/s (atomic bus), optimized keep climbing.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VALIDATION</w:t>
      </w:r>
      <w:r>
        <w:t xml:space="preserve"> </w:t>
      </w:r>
      <w:r>
        <w:t xml:space="preserve">(top-right) — convergence plot follows 1/√N; table at N=10⁶ shows all kernels statistically consistent.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CONCLUSIONS</w:t>
      </w:r>
      <w:r>
        <w:t xml:space="preserve"> </w:t>
      </w:r>
      <w:r>
        <w:t xml:space="preserve">(bottom-right) — close with: 382×/980× end-to-end, ≈1650× kernel-only, past the 200× course goal.</w:t>
      </w:r>
    </w:p>
    <w:p>
      <w:pPr>
        <w:pStyle w:val="Heading2"/>
      </w:pPr>
      <w:bookmarkStart w:id="23" w:name="Xf453b8c234971eec79976b9b872f59225511dda"/>
      <w:r>
        <w:t xml:space="preserve">v3-specific caveats (know these before someone else spots them)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CONCLUSIONS says "all kernels validate within 1σ" but the VALIDATION table shows 1.4σ for naive and shared.</w:t>
      </w:r>
      <w:r>
        <w:t xml:space="preserve"> </w:t>
      </w:r>
      <w:r>
        <w:t xml:space="preserve">If challenged: "Fair catch — the precise statement is: every kernel is statistically consistent with the analytical price (≤1.4σ at N=10⁶, antithetic at 0.8σ); our automated acceptance gate is 4σ." Do not argue the poster text.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The validation caption says the antithetic curve "sits below" the 0.5/√N reference</w:t>
      </w:r>
      <w:r>
        <w:t xml:space="preserve"> </w:t>
      </w:r>
      <w:r>
        <w:t xml:space="preserve">— at large N it doesn't, strictly. Say the dashed line is an</w:t>
      </w:r>
      <w:r>
        <w:t xml:space="preserve"> </w:t>
      </w:r>
      <w:r>
        <w:rPr>
          <w:i/>
        </w:rPr>
        <w:t xml:space="preserve">O(1/√N) scaling guide</w:t>
      </w:r>
      <w:r>
        <w:t xml:space="preserve">, not a fitted bound.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The naive curve rises at 5×10⁷ in the convergence plot.</w:t>
      </w:r>
      <w:r>
        <w:t xml:space="preserve"> </w:t>
      </w:r>
      <w:r>
        <w:t xml:space="preserve">Don't dodge it — it's a feature: FP32 atomic accumulation into one giant sum loses precision at that scale; the hierarchical reduction avoids it. Correctness argument, not just speed.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CONCLUSIONS says "≈1650×"</w:t>
      </w:r>
      <w:r>
        <w:t xml:space="preserve"> </w:t>
      </w:r>
      <w:r>
        <w:t xml:space="preserve">— the exact measured number is 1652× (antithetic, kernel-only, 5×10⁷).</w:t>
      </w:r>
    </w:p>
    <w:p>
      <w:pPr>
        <w:pStyle w:val="Heading2"/>
      </w:pPr>
      <w:bookmarkStart w:id="24" w:name="key-numbers-memorize-these-five"/>
      <w:r>
        <w:t xml:space="preserve">Key numbers (memorize these five)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382× / 980×</w:t>
            </w:r>
          </w:p>
        </w:tc>
        <w:tc>
          <w:p>
            <w:pPr>
              <w:pStyle w:val="Compact"/>
              <w:jc w:val="left"/>
            </w:pPr>
            <w:r>
              <w:t xml:space="preserve">end-to-end speedup vs 1-core CPU at 10⁷ / 5×10⁷ paths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≈1650× (1652×)</w:t>
            </w:r>
          </w:p>
        </w:tc>
        <w:tc>
          <w:p>
            <w:pPr>
              <w:pStyle w:val="Compact"/>
              <w:jc w:val="left"/>
            </w:pPr>
            <w:r>
              <w:t xml:space="preserve">kernel-only speedup at 5×10⁷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2.8% → 79%</w:t>
            </w:r>
          </w:p>
        </w:tc>
        <w:tc>
          <w:p>
            <w:pPr>
              <w:pStyle w:val="Compact"/>
              <w:jc w:val="left"/>
            </w:pPr>
            <w:r>
              <w:t xml:space="preserve">SM throughput, naive → shared (the atomics lesson)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65×</w:t>
            </w:r>
          </w:p>
        </w:tc>
        <w:tc>
          <w:p>
            <w:pPr>
              <w:pStyle w:val="Compact"/>
              <w:jc w:val="left"/>
            </w:pPr>
            <w:r>
              <w:t xml:space="preserve">RNG init cost reduction from grid-stride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10.4506</w:t>
            </w:r>
          </w:p>
        </w:tc>
        <w:tc>
          <w:p>
            <w:pPr>
              <w:pStyle w:val="Compact"/>
              <w:jc w:val="left"/>
            </w:pPr>
            <w:r>
              <w:t xml:space="preserve">analytical Black–Scholes call price = ground truth</w:t>
            </w:r>
          </w:p>
        </w:tc>
      </w:tr>
    </w:tbl>
    <w:p>
      <w:pPr>
        <w:pStyle w:val="BodyText"/>
      </w:pPr>
      <w:r>
        <w:t xml:space="preserve">These five are the whole story: two say</w:t>
      </w:r>
      <w:r>
        <w:t xml:space="preserve"> </w:t>
      </w:r>
      <w:r>
        <w:rPr>
          <w:i/>
        </w:rPr>
        <w:t xml:space="preserve">how fast</w:t>
      </w:r>
      <w:r>
        <w:t xml:space="preserve"> </w:t>
      </w:r>
      <w:r>
        <w:t xml:space="preserve">(382×/980×, 1650×), two say</w:t>
      </w:r>
      <w:r>
        <w:t xml:space="preserve"> </w:t>
      </w:r>
      <w:r>
        <w:rPr>
          <w:i/>
        </w:rPr>
        <w:t xml:space="preserve">why</w:t>
      </w:r>
      <w:r>
        <w:t xml:space="preserve"> </w:t>
      </w:r>
      <w:r>
        <w:t xml:space="preserve">(2.8→79%, 65×), one says</w:t>
      </w:r>
      <w:r>
        <w:t xml:space="preserve"> </w:t>
      </w:r>
      <w:r>
        <w:rPr>
          <w:i/>
        </w:rPr>
        <w:t xml:space="preserve">against what truth</w:t>
      </w:r>
      <w:r>
        <w:t xml:space="preserve"> </w:t>
      </w:r>
      <w:r>
        <w:t xml:space="preserve">(10.4506).</w:t>
      </w:r>
    </w:p>
    <w:p>
      <w:pPr>
        <w:pStyle w:val="Heading3"/>
      </w:pPr>
      <w:bookmarkStart w:id="25" w:name="how-to-explain-each-number"/>
      <w:r>
        <w:t xml:space="preserve">How to explain each number</w:t>
      </w:r>
      <w:bookmarkEnd w:id="25"/>
    </w:p>
    <w:p>
      <w:pPr>
        <w:pStyle w:val="FirstParagraph"/>
      </w:pPr>
      <w:r>
        <w:rPr>
          <w:b/>
        </w:rPr>
        <w:t xml:space="preserve">382× / 980× (end-to-end).</w:t>
      </w:r>
      <w:r>
        <w:t xml:space="preserve"> </w:t>
      </w:r>
      <w:r>
        <w:t xml:space="preserve">Same job — simulate N paths and produce a price — timed wall-to-wall on both sides. One CPU core does ~30 M paths/s → ≈360 ms at 10⁷; the GPU (mc_antithetic, RNG init + kernel + readback included) ≈0.9 ms → 382×. At 5×10⁷: ≈1.6 s vs ≈1.6 ms → 980×. Two numbers because speedup grows with N as GPU fixed costs amortize — quoting both is the honest version.</w:t>
      </w:r>
    </w:p>
    <w:p>
      <w:pPr>
        <w:pStyle w:val="BodyText"/>
      </w:pPr>
      <w:r>
        <w:rPr>
          <w:b/>
        </w:rPr>
        <w:t xml:space="preserve">≈1650× (kernel-only; measured value 1652×).</w:t>
      </w:r>
      <w:r>
        <w:t xml:space="preserve"> </w:t>
      </w:r>
      <w:r>
        <w:t xml:space="preserve">Same comparison but simulation kernel time only (init excluded). Read it together with 980×: "one price from cold start = 980×; many prices back-to-back, init paid once → approaches 1652×."</w:t>
      </w:r>
    </w:p>
    <w:p>
      <w:pPr>
        <w:pStyle w:val="BodyText"/>
      </w:pPr>
      <w:r>
        <w:rPr>
          <w:b/>
        </w:rPr>
        <w:t xml:space="preserve">2.8% → 79% (SM throughput).</w:t>
      </w:r>
      <w:r>
        <w:t xml:space="preserve"> </w:t>
      </w:r>
      <w:r>
        <w:t xml:space="preserve">Nsight's measure of how much of peak compute the SMs actually sustained. Naive: every path atomicAdds the same two global addresses → atomics serialize in L2 → cores idle ~97% → 2.8%, despite 94% occupancy (resident ≠ working). Shared: register → warp shuffle → shared-memory tree → one atomic per block (~128 total) → 79%. Same math, only the summation changed — 28× better utilization. This is the poster's core lesson.</w:t>
      </w:r>
    </w:p>
    <w:p>
      <w:pPr>
        <w:pStyle w:val="BodyText"/>
      </w:pPr>
      <w:r>
        <w:rPr>
          <w:b/>
        </w:rPr>
        <w:t xml:space="preserve">65× (RNG init).</w:t>
      </w:r>
      <w:r>
        <w:t xml:space="preserve"> </w:t>
      </w:r>
      <w:r>
        <w:t xml:space="preserve">One-thread-per-path needs N cuRAND states (48 B × 10⁶ ≈ 46 MB); init_rng alone took 44.6 ms at N=10⁶ — longer than the kernel itself. The fixed 16,384-thread grid-stride needs only 16,384 states → 0.68 ms = 65×. The side effect matters most: state traffic gone, kernels flip memory-bound → compute-bound.</w:t>
      </w:r>
    </w:p>
    <w:p>
      <w:pPr>
        <w:pStyle w:val="BodyText"/>
      </w:pPr>
      <w:r>
        <w:rPr>
          <w:b/>
        </w:rPr>
        <w:t xml:space="preserve">10.4506 (ground truth).</w:t>
      </w:r>
      <w:r>
        <w:t xml:space="preserve"> </w:t>
      </w:r>
      <w:r>
        <w:t xml:space="preserve">The Black–Scholes closed-form call price for S₀=K=100, r=0.05, σ=0.2, T=1. Every benchmark run is validated against it — it's what makes the speed claims trustworthy. Validation table at N=10⁶: all kernels within ≤1.4σ, antithetic at 0.8σ (σ = Monte Carlo standard-error units; see caveats above for the "within 1σ" wording).</w:t>
      </w:r>
    </w:p>
    <w:p>
      <w:pPr>
        <w:pStyle w:val="BodyText"/>
      </w:pPr>
      <w:r>
        <w:rPr>
          <w:b/>
        </w:rPr>
        <w:t xml:space="preserve">Use them in this order:</w:t>
      </w:r>
      <w:r>
        <w:t xml:space="preserve"> </w:t>
      </w:r>
      <w:r>
        <w:t xml:space="preserve">"We're 382× faster end-to-end — ≈1650× kernel-only — because we fixed the atomic bottleneck (2.8% → 79%) and made RNG init 65× cheaper; and every run validates against the analytical price 10.4506."</w:t>
      </w:r>
    </w:p>
    <w:p>
      <w:pPr>
        <w:pStyle w:val="Heading2"/>
      </w:pPr>
      <w:bookmarkStart w:id="26" w:name="demo-line-if-the-live-demo-is-running"/>
      <w:r>
        <w:t xml:space="preserve">Demo line (if the live demo is running)</w:t>
      </w:r>
      <w:bookmarkEnd w:id="26"/>
    </w:p>
    <w:p>
      <w:pPr>
        <w:pStyle w:val="FirstParagraph"/>
      </w:pPr>
      <w:r>
        <w:t xml:space="preserve">"Pick any N — price and runtime update instantly; the analytical value is printed next to it, so you can watch the error shrink as 1/√N."</w:t>
      </w:r>
    </w:p>
    <w:p>
      <w:pPr>
        <w:pStyle w:val="BodyText"/>
      </w:pPr>
      <w:r>
        <w:rPr>
          <w:i/>
        </w:rPr>
        <w:t xml:space="preserve">For every number and every claim on the poster, and full Q&amp;A: see</w:t>
      </w:r>
      <w:r>
        <w:rPr>
          <w:i/>
        </w:rPr>
        <w:t xml:space="preserve"> </w:t>
      </w:r>
      <w:r>
        <w:rPr>
          <w:rStyle w:val="VerbatimChar"/>
          <w:i/>
        </w:rPr>
        <w:t xml:space="preserve">poster_master_reference.md</w:t>
      </w:r>
      <w:r>
        <w:rPr>
          <w:i/>
        </w:rP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2026-06-11T00:28:07Z</dcterms:created>
  <dcterms:modified xsi:type="dcterms:W3CDTF">2026-06-11T00:28:07Z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