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8"/>
        </w:rPr>
        <w:t>📘 RIAYAH PLUS HEALTHOS</w:t>
      </w:r>
    </w:p>
    <w:p>
      <w:pPr>
        <w:spacing w:after="480"/>
      </w:pPr>
      <w:r>
        <w:rPr>
          <w:rFonts w:ascii="Arial" w:hAnsi="Arial"/>
          <w:b/>
          <w:color w:val="4A5568"/>
          <w:sz w:val="24"/>
        </w:rPr>
        <w:t>SYSTEM REQUIREMENTS SPECIFICATION (COMPREHENSIVE v1.2 COMBINED)</w:t>
      </w:r>
    </w:p>
    <w:p>
      <w:pPr>
        <w:keepNext/>
        <w:spacing w:before="320" w:after="120"/>
      </w:pPr>
      <w:r>
        <w:rPr>
          <w:rFonts w:ascii="Arial" w:hAnsi="Arial"/>
          <w:b/>
          <w:color w:val="1A365D"/>
          <w:sz w:val="32"/>
        </w:rPr>
        <w:t>1. CORE ARCHITECTURE &amp; SYSTEM HIERARCHY</w:t>
      </w:r>
    </w:p>
    <w:p>
      <w:pPr>
        <w:keepNext/>
        <w:spacing w:before="320" w:after="120"/>
      </w:pPr>
      <w:r>
        <w:rPr>
          <w:rFonts w:ascii="Arial" w:hAnsi="Arial"/>
          <w:b/>
          <w:color w:val="2B6CB0"/>
          <w:sz w:val="26"/>
        </w:rPr>
        <w:t>1.1 The System Backbone: Care Episode</w:t>
      </w:r>
    </w:p>
    <w:p>
      <w:r>
        <w:t>Everything in Riayah Plus must be driven by a Care Plan → Task Engine → Execution Loop. Nothing clinical or operational exists outside a Care Episode. The Care Episode acts as the foundational system of record for all patient activity.</w:t>
      </w:r>
    </w:p>
    <w:p>
      <w:pPr>
        <w:keepNext/>
        <w:spacing w:before="320" w:after="120"/>
      </w:pPr>
      <w:r>
        <w:rPr>
          <w:rFonts w:ascii="Arial" w:hAnsi="Arial"/>
          <w:b/>
          <w:color w:val="2B6CB0"/>
          <w:sz w:val="26"/>
        </w:rPr>
        <w:t>1.2 Data Model Hierarchy</w:t>
      </w:r>
    </w:p>
    <w:p>
      <w:r>
        <w:t>The system data architecture must strictly adhere to the following multi-tenant, multi-branch cascading model:</w:t>
      </w:r>
    </w:p>
    <w:p>
      <w:pPr>
        <w:spacing w:after="40"/>
        <w:ind w:left="360"/>
      </w:pPr>
      <w:r>
        <w:rPr>
          <w:rFonts w:ascii="Consolas" w:hAnsi="Consolas"/>
          <w:color w:val="2C5282"/>
          <w:sz w:val="20"/>
        </w:rPr>
        <w:t>Organization (Riayah Plus)</w:t>
      </w:r>
    </w:p>
    <w:p>
      <w:pPr>
        <w:spacing w:after="40"/>
        <w:ind w:left="360"/>
      </w:pPr>
      <w:r>
        <w:rPr>
          <w:rFonts w:ascii="Consolas" w:hAnsi="Consolas"/>
          <w:color w:val="2C5282"/>
          <w:sz w:val="20"/>
        </w:rPr>
        <w:t xml:space="preserve">  ↓ Branch (Clinic)</w:t>
      </w:r>
    </w:p>
    <w:p>
      <w:pPr>
        <w:spacing w:after="40"/>
        <w:ind w:left="360"/>
      </w:pPr>
      <w:r>
        <w:rPr>
          <w:rFonts w:ascii="Consolas" w:hAnsi="Consolas"/>
          <w:color w:val="2C5282"/>
          <w:sz w:val="20"/>
        </w:rPr>
        <w:t xml:space="preserve">    ↓ Department</w:t>
      </w:r>
    </w:p>
    <w:p>
      <w:pPr>
        <w:spacing w:after="40"/>
        <w:ind w:left="360"/>
      </w:pPr>
      <w:r>
        <w:rPr>
          <w:rFonts w:ascii="Consolas" w:hAnsi="Consolas"/>
          <w:color w:val="2C5282"/>
          <w:sz w:val="20"/>
        </w:rPr>
        <w:t xml:space="preserve">      ↓ Employee</w:t>
      </w:r>
    </w:p>
    <w:p>
      <w:pPr>
        <w:spacing w:after="40"/>
        <w:ind w:left="360"/>
      </w:pPr>
      <w:r>
        <w:rPr>
          <w:rFonts w:ascii="Consolas" w:hAnsi="Consolas"/>
          <w:color w:val="2C5282"/>
          <w:sz w:val="20"/>
        </w:rPr>
        <w:t xml:space="preserve">        ↓ Care Unit (Family)</w:t>
      </w:r>
    </w:p>
    <w:p>
      <w:pPr>
        <w:spacing w:after="40"/>
        <w:ind w:left="360"/>
      </w:pPr>
      <w:r>
        <w:rPr>
          <w:rFonts w:ascii="Consolas" w:hAnsi="Consolas"/>
          <w:color w:val="2C5282"/>
          <w:sz w:val="20"/>
        </w:rPr>
        <w:t xml:space="preserve">          ↓ Patient</w:t>
      </w:r>
    </w:p>
    <w:p>
      <w:pPr>
        <w:spacing w:after="40"/>
        <w:ind w:left="360"/>
      </w:pPr>
      <w:r>
        <w:rPr>
          <w:rFonts w:ascii="Consolas" w:hAnsi="Consolas"/>
          <w:color w:val="2C5282"/>
          <w:sz w:val="20"/>
        </w:rPr>
        <w:t xml:space="preserve">            ↓ Care Episode</w:t>
      </w:r>
    </w:p>
    <w:p>
      <w:pPr>
        <w:spacing w:after="40"/>
        <w:ind w:left="360"/>
      </w:pPr>
      <w:r>
        <w:rPr>
          <w:rFonts w:ascii="Consolas" w:hAnsi="Consolas"/>
          <w:color w:val="2C5282"/>
          <w:sz w:val="20"/>
        </w:rPr>
        <w:t xml:space="preserve">              ↓ Assessment</w:t>
      </w:r>
    </w:p>
    <w:p>
      <w:pPr>
        <w:spacing w:after="40"/>
        <w:ind w:left="360"/>
      </w:pPr>
      <w:r>
        <w:rPr>
          <w:rFonts w:ascii="Consolas" w:hAnsi="Consolas"/>
          <w:color w:val="2C5282"/>
          <w:sz w:val="20"/>
        </w:rPr>
        <w:t xml:space="preserve">                ↓ Medical Reports</w:t>
      </w:r>
    </w:p>
    <w:p>
      <w:pPr>
        <w:spacing w:after="40"/>
        <w:ind w:left="360"/>
      </w:pPr>
      <w:r>
        <w:rPr>
          <w:rFonts w:ascii="Consolas" w:hAnsi="Consolas"/>
          <w:color w:val="2C5282"/>
          <w:sz w:val="20"/>
        </w:rPr>
        <w:t xml:space="preserve">                  ↓ Care Plan</w:t>
      </w:r>
    </w:p>
    <w:p>
      <w:pPr>
        <w:spacing w:after="40"/>
        <w:ind w:left="360"/>
      </w:pPr>
      <w:r>
        <w:rPr>
          <w:rFonts w:ascii="Consolas" w:hAnsi="Consolas"/>
          <w:color w:val="2C5282"/>
          <w:sz w:val="20"/>
        </w:rPr>
        <w:t xml:space="preserve">                    ↓ Goals</w:t>
      </w:r>
    </w:p>
    <w:p>
      <w:pPr>
        <w:spacing w:after="40"/>
        <w:ind w:left="360"/>
      </w:pPr>
      <w:r>
        <w:rPr>
          <w:rFonts w:ascii="Consolas" w:hAnsi="Consolas"/>
          <w:color w:val="2C5282"/>
          <w:sz w:val="20"/>
        </w:rPr>
        <w:t xml:space="preserve">                      ↓ Services</w:t>
      </w:r>
    </w:p>
    <w:p>
      <w:pPr>
        <w:spacing w:after="40"/>
        <w:ind w:left="360"/>
      </w:pPr>
      <w:r>
        <w:rPr>
          <w:rFonts w:ascii="Consolas" w:hAnsi="Consolas"/>
          <w:color w:val="2C5282"/>
          <w:sz w:val="20"/>
        </w:rPr>
        <w:t xml:space="preserve">                        ↓ Appointments</w:t>
      </w:r>
    </w:p>
    <w:p>
      <w:pPr>
        <w:spacing w:after="40"/>
        <w:ind w:left="360"/>
      </w:pPr>
      <w:r>
        <w:rPr>
          <w:rFonts w:ascii="Consolas" w:hAnsi="Consolas"/>
          <w:color w:val="2C5282"/>
          <w:sz w:val="20"/>
        </w:rPr>
        <w:t xml:space="preserve">                          ↓ Session Notes</w:t>
      </w:r>
    </w:p>
    <w:p>
      <w:pPr>
        <w:spacing w:after="40"/>
        <w:ind w:left="360"/>
      </w:pPr>
      <w:r>
        <w:rPr>
          <w:rFonts w:ascii="Consolas" w:hAnsi="Consolas"/>
          <w:color w:val="2C5282"/>
          <w:sz w:val="20"/>
        </w:rPr>
        <w:t xml:space="preserve">                            ↓ Reviews</w:t>
      </w:r>
    </w:p>
    <w:p>
      <w:pPr>
        <w:spacing w:after="40"/>
        <w:ind w:left="360"/>
      </w:pPr>
      <w:r>
        <w:rPr>
          <w:rFonts w:ascii="Consolas" w:hAnsi="Consolas"/>
          <w:color w:val="2C5282"/>
          <w:sz w:val="20"/>
        </w:rPr>
        <w:t xml:space="preserve">                              ↓ Outcome Report</w:t>
      </w:r>
    </w:p>
    <w:p>
      <w:pPr>
        <w:spacing w:after="40"/>
        <w:ind w:left="360"/>
      </w:pPr>
      <w:r>
        <w:rPr>
          <w:rFonts w:ascii="Consolas" w:hAnsi="Consolas"/>
          <w:color w:val="2C5282"/>
          <w:sz w:val="20"/>
        </w:rPr>
        <w:t xml:space="preserve">                                ↓ Episode Closed</w:t>
      </w:r>
    </w:p>
    <w:p>
      <w:pPr>
        <w:keepNext/>
        <w:spacing w:before="320" w:after="120"/>
      </w:pPr>
      <w:r>
        <w:rPr>
          <w:rFonts w:ascii="Arial" w:hAnsi="Arial"/>
          <w:b/>
          <w:color w:val="1A365D"/>
          <w:sz w:val="32"/>
        </w:rPr>
        <w:t>2. STATE MACHINES &amp; CONFIGURABLE WORKFLOW ENGINE</w:t>
      </w:r>
    </w:p>
    <w:p>
      <w:r>
        <w:t>All core system entities must transition through strict state machines. No state transitions are allowed outside these predefined pathways.</w:t>
      </w:r>
    </w:p>
    <w:p>
      <w:pPr>
        <w:keepNext/>
        <w:spacing w:before="320" w:after="120"/>
      </w:pPr>
      <w:r>
        <w:rPr>
          <w:rFonts w:ascii="Arial" w:hAnsi="Arial"/>
          <w:b/>
          <w:color w:val="2B6CB0"/>
          <w:sz w:val="26"/>
        </w:rPr>
        <w:t>2.1 Entity States</w:t>
      </w:r>
    </w:p>
    <w:p>
      <w:pPr>
        <w:pStyle w:val="ListBullet"/>
        <w:spacing w:after="80"/>
      </w:pPr>
      <w:r>
        <w:rPr>
          <w:b/>
        </w:rPr>
        <w:t xml:space="preserve">Care Episode States: </w:t>
      </w:r>
      <w:r>
        <w:t>Draft → Assessment Pending → Assessment Complete → Care Planning → Awaiting Family Approval → Active → Under Review → Completed → Closed → Archived</w:t>
      </w:r>
    </w:p>
    <w:p>
      <w:pPr>
        <w:pStyle w:val="ListBullet"/>
        <w:spacing w:after="80"/>
      </w:pPr>
      <w:r>
        <w:rPr>
          <w:b/>
        </w:rPr>
        <w:t xml:space="preserve">Care Plan States: </w:t>
      </w:r>
      <w:r>
        <w:t>Draft → AI Generated → Coordinator Review → Clinical Review (Optional) → Family Review → Approved → Activated → Superseded → Archived</w:t>
      </w:r>
    </w:p>
    <w:p>
      <w:pPr>
        <w:pStyle w:val="ListBullet"/>
        <w:spacing w:after="80"/>
      </w:pPr>
      <w:r>
        <w:rPr>
          <w:b/>
        </w:rPr>
        <w:t xml:space="preserve">Appointment States: </w:t>
      </w:r>
      <w:r>
        <w:t>Requested → Booked → Confirmed → Checked In → In Progress → Completed → Closed (with sub-states for Cancelled and Rescheduled)</w:t>
      </w:r>
    </w:p>
    <w:p>
      <w:pPr>
        <w:pStyle w:val="ListBullet"/>
        <w:spacing w:after="80"/>
      </w:pPr>
      <w:r>
        <w:rPr>
          <w:b/>
        </w:rPr>
        <w:t xml:space="preserve">Assessment States: </w:t>
      </w:r>
      <w:r>
        <w:t>Scheduled → In Progress → Completed → Reviewed → Approved</w:t>
      </w:r>
    </w:p>
    <w:p>
      <w:pPr>
        <w:keepNext/>
        <w:spacing w:before="320" w:after="120"/>
      </w:pPr>
      <w:r>
        <w:rPr>
          <w:rFonts w:ascii="Arial" w:hAnsi="Arial"/>
          <w:b/>
          <w:color w:val="2B6CB0"/>
          <w:sz w:val="26"/>
        </w:rPr>
        <w:t>2.2 Workflow Automation Engine</w:t>
      </w:r>
    </w:p>
    <w:p>
      <w:r>
        <w:t>The platform must support sequential automated workflows triggered by system state modifications.</w:t>
      </w:r>
    </w:p>
    <w:tbl>
      <w:tblPr>
        <w:tblW w:type="auto" w:w="0"/>
        <w:jc w:val="center"/>
        <w:tblLayout w:type="fixed"/>
        <w:tblLook w:firstColumn="1" w:firstRow="1" w:lastColumn="0" w:lastRow="0" w:noHBand="0" w:noVBand="1" w:val="04A0"/>
      </w:tblPr>
      <w:tblGrid>
        <w:gridCol w:w="9360"/>
      </w:tblGrid>
      <w:tr>
        <w:tc>
          <w:tcPr>
            <w:tcW w:type="dxa" w:w="864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0" w:after="0"/>
            </w:pPr>
            <w:r>
              <w:rPr>
                <w:rFonts w:ascii="Arial" w:hAnsi="Arial"/>
                <w:i/>
                <w:color w:val="2D3748"/>
                <w:sz w:val="21"/>
              </w:rPr>
              <w:t>Standard Operational Pipeline Example:</w:t>
              <w:br/>
              <w:t>Assessment Completed → AI Summary Generated → Coordinator Notified → Care Plan Draft Created → Family Review → Approval → Service Activation → Automated Task Generation → Scheduling → Care Delivery → Monitoring.</w:t>
            </w:r>
          </w:p>
        </w:tc>
      </w:tr>
    </w:tbl>
    <w:p/>
    <w:p>
      <w:pPr>
        <w:keepNext/>
        <w:spacing w:before="320" w:after="120"/>
      </w:pPr>
      <w:r>
        <w:rPr>
          <w:rFonts w:ascii="Arial" w:hAnsi="Arial"/>
          <w:b/>
          <w:color w:val="1A365D"/>
          <w:sz w:val="32"/>
        </w:rPr>
        <w:t>3. ARABIC-FIRST UX &amp; PATIENT ONBOARDING FLOW</w:t>
      </w:r>
    </w:p>
    <w:p>
      <w:pPr>
        <w:keepNext/>
        <w:spacing w:before="320" w:after="120"/>
      </w:pPr>
      <w:r>
        <w:rPr>
          <w:rFonts w:ascii="Arial" w:hAnsi="Arial"/>
          <w:b/>
          <w:color w:val="2B6CB0"/>
          <w:sz w:val="26"/>
        </w:rPr>
        <w:t>3.1 Landing Page Requirements</w:t>
      </w:r>
    </w:p>
    <w:p>
      <w:r>
        <w:t>The initial touchpoint for the Family App must be Arabic-native (RTL Layout by default). No English-first UX is permitted on the initial screen.</w:t>
      </w:r>
    </w:p>
    <w:p>
      <w:pPr>
        <w:pStyle w:val="ListBullet"/>
        <w:spacing w:after="80"/>
      </w:pPr>
      <w:r>
        <w:rPr>
          <w:b/>
        </w:rPr>
        <w:t xml:space="preserve">Header Elements: </w:t>
      </w:r>
      <w:r>
        <w:t>Riayah Plus Logo, Language Toggle (العربية / English).</w:t>
      </w:r>
    </w:p>
    <w:p>
      <w:pPr>
        <w:pStyle w:val="ListBullet"/>
        <w:spacing w:after="80"/>
      </w:pPr>
      <w:r>
        <w:rPr>
          <w:b/>
        </w:rPr>
        <w:t xml:space="preserve">Value Statement (Arabic): </w:t>
      </w:r>
      <w:r>
        <w:t>منصة رعاية صحية متكاملة لإدارة خطط الرعاية والمتابعة المنزلية والتأهيل الطبي</w:t>
      </w:r>
    </w:p>
    <w:p>
      <w:pPr>
        <w:pStyle w:val="ListBullet"/>
        <w:spacing w:after="80"/>
      </w:pPr>
      <w:r>
        <w:rPr>
          <w:b/>
        </w:rPr>
        <w:t xml:space="preserve">Primary CTA: </w:t>
      </w:r>
      <w:r>
        <w:t>احجز استشارة (Book a Consultation)</w:t>
      </w:r>
    </w:p>
    <w:p>
      <w:pPr>
        <w:pStyle w:val="ListBullet"/>
        <w:spacing w:after="80"/>
      </w:pPr>
      <w:r>
        <w:rPr>
          <w:b/>
        </w:rPr>
        <w:t xml:space="preserve">Core Navigation/Sections: </w:t>
      </w:r>
      <w:r>
        <w:t>Hero, Services Showcase, Care Journey Breakdown, Telehealth Introduction, Testimonials, FAQ, Contact Us.</w:t>
      </w:r>
    </w:p>
    <w:p>
      <w:pPr>
        <w:pStyle w:val="ListBullet"/>
        <w:spacing w:after="80"/>
      </w:pPr>
      <w:r>
        <w:rPr>
          <w:b/>
        </w:rPr>
        <w:t xml:space="preserve">Main Action Buttons: </w:t>
      </w:r>
      <w:r>
        <w:t>تسجيل الدخول (Login) | إنشاء حساب (Create Account) | استعراض الخدمات (View Services)</w:t>
      </w:r>
    </w:p>
    <w:p>
      <w:pPr>
        <w:keepNext/>
        <w:spacing w:before="320" w:after="120"/>
      </w:pPr>
      <w:r>
        <w:rPr>
          <w:rFonts w:ascii="Arial" w:hAnsi="Arial"/>
          <w:b/>
          <w:color w:val="2B6CB0"/>
          <w:sz w:val="26"/>
        </w:rPr>
        <w:t>3.2 Family Onboarding Architecture</w:t>
      </w:r>
    </w:p>
    <w:p>
      <w:r>
        <w:t>The client onboarding sequence must run through the following pipeline: Landing Page → Book Consultation OR Create Account → Add Patient Profile → Medical Intake Form Completion → Upload External Reports → Consent Engine Execution → AI Intake Summary Generation → Assessment Booking.</w:t>
      </w:r>
    </w:p>
    <w:p>
      <w:pPr>
        <w:keepNext/>
        <w:spacing w:before="320" w:after="120"/>
      </w:pPr>
      <w:r>
        <w:rPr>
          <w:rFonts w:ascii="Arial" w:hAnsi="Arial"/>
          <w:b/>
          <w:color w:val="2B6CB0"/>
          <w:sz w:val="26"/>
        </w:rPr>
        <w:t>3.3 Consent Engine</w:t>
      </w:r>
    </w:p>
    <w:p>
      <w:r>
        <w:t>Digital consent tracking must be cryptographically or structurally verified and logged for every patient.</w:t>
      </w:r>
    </w:p>
    <w:p>
      <w:pPr>
        <w:pStyle w:val="ListBullet"/>
        <w:spacing w:after="80"/>
      </w:pPr>
      <w:r>
        <w:rPr>
          <w:b/>
        </w:rPr>
        <w:t xml:space="preserve">Consent Types: </w:t>
      </w:r>
      <w:r>
        <w:t>Privacy Consent, Treatment Consent, Telehealth Consent, Care Plan Approval, Quotation Approval, Data Sharing Consent, Media Consent.</w:t>
      </w:r>
    </w:p>
    <w:p>
      <w:pPr>
        <w:pStyle w:val="ListBullet"/>
        <w:spacing w:after="80"/>
      </w:pPr>
      <w:r>
        <w:rPr>
          <w:b/>
        </w:rPr>
        <w:t xml:space="preserve">Metadata Logged (Immutable Auditing): </w:t>
      </w:r>
      <w:r>
        <w:t>Document Version, Timestamp, User Identity, Device Footprint, IP Address, Signature Status.</w:t>
      </w:r>
    </w:p>
    <w:p>
      <w:pPr>
        <w:keepNext/>
        <w:spacing w:before="320" w:after="120"/>
      </w:pPr>
      <w:r>
        <w:rPr>
          <w:rFonts w:ascii="Arial" w:hAnsi="Arial"/>
          <w:b/>
          <w:color w:val="1A365D"/>
          <w:sz w:val="32"/>
        </w:rPr>
        <w:t>4. CORE CARE PLAN SYSTEM</w:t>
      </w:r>
    </w:p>
    <w:p>
      <w:pPr>
        <w:keepNext/>
        <w:spacing w:before="320" w:after="120"/>
      </w:pPr>
      <w:r>
        <w:rPr>
          <w:rFonts w:ascii="Arial" w:hAnsi="Arial"/>
          <w:b/>
          <w:color w:val="2B6CB0"/>
          <w:sz w:val="26"/>
        </w:rPr>
        <w:t>4.1 Patient Information (Structured Object)</w:t>
      </w:r>
    </w:p>
    <w:p>
      <w:r>
        <w:t>Every Care Plan must link cleanly to structured patient records: Full Name &amp; DOB, System-Generated Unique Reference Number, Point of Contact (POC) details, Primary Care Coordinator &amp; Assigned Clinic/Branch.</w:t>
      </w:r>
    </w:p>
    <w:p>
      <w:pPr>
        <w:keepNext/>
        <w:spacing w:before="320" w:after="120"/>
      </w:pPr>
      <w:r>
        <w:rPr>
          <w:rFonts w:ascii="Arial" w:hAnsi="Arial"/>
          <w:b/>
          <w:color w:val="2B6CB0"/>
          <w:sz w:val="26"/>
        </w:rPr>
        <w:t>4.2 Diagnoses &amp; Medical Reports</w:t>
      </w:r>
    </w:p>
    <w:p>
      <w:pPr>
        <w:pStyle w:val="ListBullet"/>
        <w:spacing w:after="80"/>
      </w:pPr>
      <w:r>
        <w:rPr>
          <w:b/>
        </w:rPr>
        <w:t xml:space="preserve">No Free-Text Dependencies: </w:t>
      </w:r>
      <w:r>
        <w:t>Diagnoses must use structured data entries (e.g., ICD-10 coding sets or a standardized internal directory).</w:t>
      </w:r>
    </w:p>
    <w:p>
      <w:pPr>
        <w:pStyle w:val="ListBullet"/>
        <w:spacing w:after="80"/>
      </w:pPr>
      <w:r>
        <w:rPr>
          <w:b/>
        </w:rPr>
        <w:t xml:space="preserve">Medical Report Object Schema: </w:t>
      </w:r>
      <w:r>
        <w:t>Report Name, Doctor Name, Doctor Specialty, and Date; File Attachment link; Summary component (AI-generated text block, human-editable and versioned).</w:t>
      </w:r>
    </w:p>
    <w:p>
      <w:pPr>
        <w:keepNext/>
        <w:spacing w:before="320" w:after="120"/>
      </w:pPr>
      <w:r>
        <w:rPr>
          <w:rFonts w:ascii="Arial" w:hAnsi="Arial"/>
          <w:b/>
          <w:color w:val="2B6CB0"/>
          <w:sz w:val="26"/>
        </w:rPr>
        <w:t>4.3 Tiered Goals System</w:t>
      </w:r>
    </w:p>
    <w:p>
      <w:r>
        <w:t>Goals cannot be freeform text entries; they must belong to explicit tracking tiers and contain metrics:</w:t>
      </w:r>
    </w:p>
    <w:p>
      <w:pPr>
        <w:pStyle w:val="ListBullet"/>
        <w:spacing w:after="80"/>
      </w:pPr>
      <w:r>
        <w:rPr>
          <w:b/>
        </w:rPr>
        <w:t xml:space="preserve">Short-Term Goals: </w:t>
      </w:r>
      <w:r>
        <w:t>1 month – 1 year</w:t>
      </w:r>
    </w:p>
    <w:p>
      <w:pPr>
        <w:pStyle w:val="ListBullet"/>
        <w:spacing w:after="80"/>
      </w:pPr>
      <w:r>
        <w:rPr>
          <w:b/>
        </w:rPr>
        <w:t xml:space="preserve">Medium-Term Goals: </w:t>
      </w:r>
      <w:r>
        <w:t>6 months – 3 years</w:t>
      </w:r>
    </w:p>
    <w:p>
      <w:pPr>
        <w:pStyle w:val="ListBullet"/>
        <w:spacing w:after="80"/>
      </w:pPr>
      <w:r>
        <w:rPr>
          <w:b/>
        </w:rPr>
        <w:t xml:space="preserve">Long-Term Goals: </w:t>
      </w:r>
      <w:r>
        <w:t>1 year – 5 years</w:t>
      </w:r>
    </w:p>
    <w:p>
      <w:pPr>
        <w:pStyle w:val="ListBullet"/>
        <w:spacing w:after="80"/>
      </w:pPr>
      <w:r>
        <w:rPr>
          <w:b/>
        </w:rPr>
        <w:t xml:space="preserve">Goal Object Schema: </w:t>
      </w:r>
      <w:r>
        <w:t>Title, Category (Clinical / Functional / Behavioural / Mobility / Cognitive), Description, Target Duration, Priority (Low / Medium / High / Critical), Assigned Staff, Measurable Outcome metric, Status (Active / Achieved / Delayed).</w:t>
      </w:r>
    </w:p>
    <w:p>
      <w:pPr>
        <w:keepNext/>
        <w:spacing w:before="320" w:after="120"/>
      </w:pPr>
      <w:r>
        <w:rPr>
          <w:rFonts w:ascii="Arial" w:hAnsi="Arial"/>
          <w:b/>
          <w:color w:val="2B6CB0"/>
          <w:sz w:val="26"/>
        </w:rPr>
        <w:t>4.4 Achievements System</w:t>
      </w:r>
    </w:p>
    <w:p>
      <w:pPr>
        <w:pStyle w:val="ListBullet"/>
        <w:spacing w:after="80"/>
      </w:pPr>
      <w:r>
        <w:rPr>
          <w:b/>
        </w:rPr>
        <w:t xml:space="preserve">System Constraint: </w:t>
      </w:r>
      <w:r>
        <w:t>Achievements cannot be manually created in isolation. They must always be explicitly mapped to an existing Goal ID.</w:t>
      </w:r>
    </w:p>
    <w:p>
      <w:pPr>
        <w:pStyle w:val="ListBullet"/>
        <w:spacing w:after="80"/>
      </w:pPr>
      <w:r>
        <w:rPr>
          <w:b/>
        </w:rPr>
        <w:t xml:space="preserve">Achievement Object Schema: </w:t>
      </w:r>
      <w:r>
        <w:t>Linked Goal ID, Achievement Description, Evidence Link (photo / note / clinical report), Date, Verified By (Coordinator / Clinician), Status.</w:t>
      </w:r>
    </w:p>
    <w:p>
      <w:pPr>
        <w:keepNext/>
        <w:spacing w:before="320" w:after="120"/>
      </w:pPr>
      <w:r>
        <w:rPr>
          <w:rFonts w:ascii="Arial" w:hAnsi="Arial"/>
          <w:b/>
          <w:color w:val="1A365D"/>
          <w:sz w:val="32"/>
        </w:rPr>
        <w:t>5. CARE PLAN SERVICES CATALOG &amp; FINANCIALS</w:t>
      </w:r>
    </w:p>
    <w:p>
      <w:pPr>
        <w:keepNext/>
        <w:spacing w:before="320" w:after="120"/>
      </w:pPr>
      <w:r>
        <w:rPr>
          <w:rFonts w:ascii="Arial" w:hAnsi="Arial"/>
          <w:b/>
          <w:color w:val="2B6CB0"/>
          <w:sz w:val="26"/>
        </w:rPr>
        <w:t>5.1 Service Categories</w:t>
      </w:r>
    </w:p>
    <w:p>
      <w:pPr>
        <w:pStyle w:val="ListBullet"/>
        <w:spacing w:after="80"/>
      </w:pPr>
      <w:r>
        <w:rPr>
          <w:b/>
        </w:rPr>
        <w:t xml:space="preserve">Core Support Services: </w:t>
      </w:r>
      <w:r>
        <w:t>Nursing, Support Workers, Daily Living Assistance, Community Access Support.</w:t>
      </w:r>
    </w:p>
    <w:p>
      <w:pPr>
        <w:pStyle w:val="ListBullet"/>
        <w:spacing w:after="80"/>
      </w:pPr>
      <w:r>
        <w:rPr>
          <w:b/>
        </w:rPr>
        <w:t xml:space="preserve">Capacity Building Services: </w:t>
      </w:r>
      <w:r>
        <w:t>Care Coordination, Physiotherapy, Occupational Therapy, Speech Therapy, Psychology, Other Allied Health.</w:t>
      </w:r>
    </w:p>
    <w:p>
      <w:pPr>
        <w:keepNext/>
        <w:spacing w:before="320" w:after="120"/>
      </w:pPr>
      <w:r>
        <w:rPr>
          <w:rFonts w:ascii="Arial" w:hAnsi="Arial"/>
          <w:b/>
          <w:color w:val="2B6CB0"/>
          <w:sz w:val="26"/>
        </w:rPr>
        <w:t>5.2 Service Configuration Rules</w:t>
      </w:r>
    </w:p>
    <w:p>
      <w:r>
        <w:t>Every service provision line-item must define: Total Cost = Frequency (Sessions/Week/Month) × Duration (Hours/Session) × Unit Cost. It must also store the Assigned Staff Role.</w:t>
      </w:r>
    </w:p>
    <w:p>
      <w:pPr>
        <w:keepNext/>
        <w:spacing w:before="320" w:after="120"/>
      </w:pPr>
      <w:r>
        <w:rPr>
          <w:rFonts w:ascii="Arial" w:hAnsi="Arial"/>
          <w:b/>
          <w:color w:val="2B6CB0"/>
          <w:sz w:val="26"/>
        </w:rPr>
        <w:t>5.3 Consumables, Equipment &amp; Modifications</w:t>
      </w:r>
    </w:p>
    <w:p>
      <w:pPr>
        <w:pStyle w:val="ListBullet"/>
        <w:spacing w:after="80"/>
      </w:pPr>
      <w:r>
        <w:rPr>
          <w:b/>
        </w:rPr>
        <w:t xml:space="preserve">Consumables: </w:t>
      </w:r>
      <w:r>
        <w:t>Item Name, Quantity, Frequency, Unit Price, Supplier, Funding Category.</w:t>
      </w:r>
    </w:p>
    <w:p>
      <w:pPr>
        <w:pStyle w:val="ListBullet"/>
        <w:spacing w:after="80"/>
      </w:pPr>
      <w:r>
        <w:rPr>
          <w:b/>
        </w:rPr>
        <w:t xml:space="preserve">Assistive Technology (AT): </w:t>
      </w:r>
      <w:r>
        <w:t>Device Name, Clinical Justification, Supplier, Cost, Approval Status (Pending / Approved / Rejected).</w:t>
      </w:r>
    </w:p>
    <w:p>
      <w:pPr>
        <w:pStyle w:val="ListBullet"/>
        <w:spacing w:after="80"/>
      </w:pPr>
      <w:r>
        <w:rPr>
          <w:b/>
        </w:rPr>
        <w:t xml:space="preserve">Home Modifications: </w:t>
      </w:r>
      <w:r>
        <w:t>Modification Type, Supplier, Quotation, Approval Status, Installation Date.</w:t>
      </w:r>
    </w:p>
    <w:p>
      <w:pPr>
        <w:pStyle w:val="ListBullet"/>
        <w:spacing w:after="80"/>
      </w:pPr>
      <w:r>
        <w:rPr>
          <w:b/>
        </w:rPr>
        <w:t xml:space="preserve">Equipment: </w:t>
      </w:r>
      <w:r>
        <w:t>Equipment Name, Usage Purpose, Cost, Supplier, Maintenance Schedule.</w:t>
      </w:r>
    </w:p>
    <w:p>
      <w:pPr>
        <w:keepNext/>
        <w:spacing w:before="320" w:after="120"/>
      </w:pPr>
      <w:r>
        <w:rPr>
          <w:rFonts w:ascii="Arial" w:hAnsi="Arial"/>
          <w:b/>
          <w:color w:val="2B6CB0"/>
          <w:sz w:val="26"/>
        </w:rPr>
        <w:t>5.4 Financial Engine &amp; Family Review Flow</w:t>
      </w:r>
    </w:p>
    <w:p>
      <w:r>
        <w:t>Every Care Plan must auto-calculate a comprehensive quotation grouping costs by Core Support, Capacity Building, Consumables, and Equipment. The flow operates as follows: Draft Care Plan Generated → Full Financial Breakdown Rendered → Transmitted to Family App. Actions include: Approve, Request Changes, or Reject.</w:t>
      </w:r>
    </w:p>
    <w:p>
      <w:pPr>
        <w:keepNext/>
        <w:spacing w:before="320" w:after="120"/>
      </w:pPr>
      <w:r>
        <w:rPr>
          <w:rFonts w:ascii="Arial" w:hAnsi="Arial"/>
          <w:b/>
          <w:color w:val="1A365D"/>
          <w:sz w:val="32"/>
        </w:rPr>
        <w:t>6. TASK ENGINE (SYSTEM EXECUTION LAYER)</w:t>
      </w:r>
    </w:p>
    <w:p>
      <w:r>
        <w:t>The Task Engine represents the execution layer of the Care Plan. It bridges clinical planning and practical day-to-day work.</w:t>
      </w:r>
    </w:p>
    <w:p>
      <w:r>
        <w:t>Execution Loop: Goal ⟶ Service ⟶ Task ⟶ Appointment ⟶ Session ⟶ Outcome</w:t>
      </w:r>
    </w:p>
    <w:p>
      <w:pPr>
        <w:keepNext/>
        <w:spacing w:before="320" w:after="120"/>
      </w:pPr>
      <w:r>
        <w:rPr>
          <w:rFonts w:ascii="Arial" w:hAnsi="Arial"/>
          <w:b/>
          <w:color w:val="2B6CB0"/>
          <w:sz w:val="26"/>
        </w:rPr>
        <w:t>6.1 Task Types</w:t>
      </w:r>
    </w:p>
    <w:p>
      <w:pPr>
        <w:pStyle w:val="ListBullet"/>
        <w:spacing w:after="80"/>
      </w:pPr>
      <w:r>
        <w:rPr>
          <w:b/>
        </w:rPr>
        <w:t xml:space="preserve">Clinical Tasks: </w:t>
      </w:r>
      <w:r>
        <w:t>Assessment completion, Goal evaluation, Progress reviews.</w:t>
      </w:r>
    </w:p>
    <w:p>
      <w:pPr>
        <w:pStyle w:val="ListBullet"/>
        <w:spacing w:after="80"/>
      </w:pPr>
      <w:r>
        <w:rPr>
          <w:b/>
        </w:rPr>
        <w:t xml:space="preserve">Service Tasks: </w:t>
      </w:r>
      <w:r>
        <w:t>Physiotherapy sessions, Nursing visits, Support worker shifts.</w:t>
      </w:r>
    </w:p>
    <w:p>
      <w:pPr>
        <w:pStyle w:val="ListBullet"/>
        <w:spacing w:after="80"/>
      </w:pPr>
      <w:r>
        <w:rPr>
          <w:b/>
        </w:rPr>
        <w:t xml:space="preserve">Administrative Tasks: </w:t>
      </w:r>
      <w:r>
        <w:t>Booking confirmations, Report uploads, Approval requests.</w:t>
      </w:r>
    </w:p>
    <w:p>
      <w:pPr>
        <w:pStyle w:val="ListBullet"/>
        <w:spacing w:after="80"/>
      </w:pPr>
      <w:r>
        <w:rPr>
          <w:b/>
        </w:rPr>
        <w:t xml:space="preserve">System Tasks: </w:t>
      </w:r>
      <w:r>
        <w:t>Risk reviews, Care plan summaries, Missed visit alerts.</w:t>
      </w:r>
    </w:p>
    <w:p>
      <w:pPr>
        <w:keepNext/>
        <w:spacing w:before="320" w:after="120"/>
      </w:pPr>
      <w:r>
        <w:rPr>
          <w:rFonts w:ascii="Arial" w:hAnsi="Arial"/>
          <w:b/>
          <w:color w:val="1A365D"/>
          <w:sz w:val="32"/>
        </w:rPr>
        <w:t>7. THREE-WAY BOOKING ENGINE &amp; VALIDATION RULES</w:t>
      </w:r>
    </w:p>
    <w:p>
      <w:pPr>
        <w:keepNext/>
        <w:spacing w:before="320" w:after="120"/>
      </w:pPr>
      <w:r>
        <w:rPr>
          <w:rFonts w:ascii="Arial" w:hAnsi="Arial"/>
          <w:b/>
          <w:color w:val="2B6CB0"/>
          <w:sz w:val="26"/>
        </w:rPr>
        <w:t>7.1 Booking Pathways</w:t>
      </w:r>
    </w:p>
    <w:p>
      <w:pPr>
        <w:pStyle w:val="ListBullet"/>
        <w:spacing w:after="80"/>
      </w:pPr>
      <w:r>
        <w:rPr>
          <w:b/>
        </w:rPr>
        <w:t xml:space="preserve">Family Self-Booking: </w:t>
      </w:r>
      <w:r>
        <w:t>Direct scheduling interface via Family App.</w:t>
      </w:r>
    </w:p>
    <w:p>
      <w:pPr>
        <w:pStyle w:val="ListBullet"/>
        <w:spacing w:after="80"/>
      </w:pPr>
      <w:r>
        <w:rPr>
          <w:b/>
        </w:rPr>
        <w:t xml:space="preserve">Coordinator Booking: </w:t>
      </w:r>
      <w:r>
        <w:t>Management-level scheduling and multi-provider coordination.</w:t>
      </w:r>
    </w:p>
    <w:p>
      <w:pPr>
        <w:pStyle w:val="ListBullet"/>
        <w:spacing w:after="80"/>
      </w:pPr>
      <w:r>
        <w:rPr>
          <w:b/>
        </w:rPr>
        <w:t xml:space="preserve">Clinician Booking: </w:t>
      </w:r>
      <w:r>
        <w:t>Appointment configuration for follow-ups and reassessments.</w:t>
      </w:r>
    </w:p>
    <w:p>
      <w:pPr>
        <w:keepNext/>
        <w:spacing w:before="320" w:after="120"/>
      </w:pPr>
      <w:r>
        <w:rPr>
          <w:rFonts w:ascii="Arial" w:hAnsi="Arial"/>
          <w:b/>
          <w:color w:val="2B6CB0"/>
          <w:sz w:val="26"/>
        </w:rPr>
        <w:t>7.2 Core Validation Rules</w:t>
      </w:r>
    </w:p>
    <w:p>
      <w:pPr>
        <w:pStyle w:val="ListBullet"/>
        <w:spacing w:after="80"/>
      </w:pPr>
      <w:r>
        <w:rPr>
          <w:b/>
        </w:rPr>
        <w:t xml:space="preserve">Roster Compliance: </w:t>
      </w:r>
      <w:r>
        <w:t>Staff availability, official working hours, branch assignments.</w:t>
      </w:r>
    </w:p>
    <w:p>
      <w:pPr>
        <w:pStyle w:val="ListBullet"/>
        <w:spacing w:after="80"/>
      </w:pPr>
      <w:r>
        <w:rPr>
          <w:b/>
        </w:rPr>
        <w:t xml:space="preserve">Clinical Guardrails: </w:t>
      </w:r>
      <w:r>
        <w:t>Care Plan eligibility, service duration limits, and skill matching.</w:t>
      </w:r>
    </w:p>
    <w:p>
      <w:pPr>
        <w:pStyle w:val="ListBullet"/>
        <w:spacing w:after="80"/>
      </w:pPr>
      <w:r>
        <w:rPr>
          <w:b/>
        </w:rPr>
        <w:t xml:space="preserve">Concurrency Controls: </w:t>
      </w:r>
      <w:r>
        <w:t>Total prevention of double bookings for staff and patients.</w:t>
      </w:r>
    </w:p>
    <w:p>
      <w:pPr>
        <w:keepNext/>
        <w:spacing w:before="320" w:after="120"/>
      </w:pPr>
      <w:r>
        <w:rPr>
          <w:rFonts w:ascii="Arial" w:hAnsi="Arial"/>
          <w:b/>
          <w:color w:val="1A365D"/>
          <w:sz w:val="32"/>
        </w:rPr>
        <w:t>8. CLINICAL MODULES &amp; OPERATIONS</w:t>
      </w:r>
    </w:p>
    <w:p>
      <w:pPr>
        <w:keepNext/>
        <w:spacing w:before="320" w:after="120"/>
      </w:pPr>
      <w:r>
        <w:rPr>
          <w:rFonts w:ascii="Arial" w:hAnsi="Arial"/>
          <w:b/>
          <w:color w:val="2B6CB0"/>
          <w:sz w:val="26"/>
        </w:rPr>
        <w:t>8.1 Assessment System</w:t>
      </w:r>
    </w:p>
    <w:p>
      <w:r>
        <w:t>Assessments must operate as highly structured clinical sessions rather than unstructured journals. Flow: Booking Confirmed → Clinician Assigned → Session Completed → Structured Metrics Recorded → Standardized Clinical Report Generated → Linked to Care Episode.</w:t>
      </w:r>
    </w:p>
    <w:p>
      <w:pPr>
        <w:keepNext/>
        <w:spacing w:before="320" w:after="120"/>
      </w:pPr>
      <w:r>
        <w:rPr>
          <w:rFonts w:ascii="Arial" w:hAnsi="Arial"/>
          <w:b/>
          <w:color w:val="2B6CB0"/>
          <w:sz w:val="26"/>
        </w:rPr>
        <w:t>8.2 Segregated Role-Based Notes</w:t>
      </w:r>
    </w:p>
    <w:p>
      <w:r>
        <w:t>The platform must dropped generic notes completely. Database architecture must isolate notes into explicit structures:</w:t>
      </w:r>
    </w:p>
    <w:p>
      <w:pPr>
        <w:pStyle w:val="ListBullet"/>
        <w:spacing w:after="80"/>
      </w:pPr>
      <w:r>
        <w:rPr>
          <w:b/>
        </w:rPr>
        <w:t xml:space="preserve">Note Categories: </w:t>
      </w:r>
      <w:r>
        <w:t>Clinical Notes (Doctors), Nursing Notes, Shift Notes (Support Workers), Therapy Notes (Allied Health), Coordination Notes (Care Coordinators).</w:t>
      </w:r>
    </w:p>
    <w:p>
      <w:pPr>
        <w:keepNext/>
        <w:spacing w:before="320" w:after="120"/>
      </w:pPr>
      <w:r>
        <w:rPr>
          <w:rFonts w:ascii="Arial" w:hAnsi="Arial"/>
          <w:b/>
          <w:color w:val="1A365D"/>
          <w:sz w:val="32"/>
        </w:rPr>
        <w:t>9. ARTIFICIAL INTELLIGENCE (AI) GUARDRAILS</w:t>
      </w:r>
    </w:p>
    <w:p>
      <w:r>
        <w:t>AI capabilities in Riayah Plus are strictly assistive. The system must treat AI output as raw material, never as the system of record. AI is allowed for intake summarization and plan drafting, but strictly prohibited from final clinical decisions or auto-approvals.</w:t>
      </w:r>
    </w:p>
    <w:p>
      <w:pPr>
        <w:keepNext/>
        <w:spacing w:before="320" w:after="120"/>
      </w:pPr>
      <w:r>
        <w:rPr>
          <w:rFonts w:ascii="Arial" w:hAnsi="Arial"/>
          <w:b/>
          <w:color w:val="1A365D"/>
          <w:sz w:val="32"/>
        </w:rPr>
        <w:t>10. DEVELOPER MANDATES &amp; SYSTEM RULES (NON-NEGOTIABLE)</w:t>
      </w:r>
    </w:p>
    <w:tbl>
      <w:tblPr>
        <w:tblW w:type="auto" w:w="0"/>
        <w:jc w:val="center"/>
        <w:tblLayout w:type="fixed"/>
        <w:tblLook w:firstColumn="1" w:firstRow="1" w:lastColumn="0" w:lastRow="0" w:noHBand="0" w:noVBand="1" w:val="04A0"/>
      </w:tblPr>
      <w:tblGrid>
        <w:gridCol w:w="9360"/>
      </w:tblGrid>
      <w:tr>
        <w:tc>
          <w:tcPr>
            <w:tcW w:type="dxa" w:w="8640"/>
            <w:shd w:val="clear" w:color="auto" w:fill="F0F4F8"/>
            <w:tcMar>
              <w:top w:w="140" w:type="dxa"/>
              <w:bottom w:w="140" w:type="dxa"/>
              <w:left w:w="200" w:type="dxa"/>
              <w:right w:w="200" w:type="dxa"/>
            </w:tcMar>
            <w:tcBorders>
              <w:left w:val="single" w:sz="24" w:space="0" w:color="1A365D"/>
              <w:top w:val="none"/>
              <w:bottom w:val="none"/>
              <w:right w:val="none"/>
            </w:tcBorders>
          </w:tcPr>
          <w:p>
            <w:pPr>
              <w:spacing w:before="0" w:after="0"/>
            </w:pPr>
            <w:r>
              <w:rPr>
                <w:rFonts w:ascii="Arial" w:hAnsi="Arial"/>
                <w:i/>
                <w:color w:val="2D3748"/>
                <w:sz w:val="21"/>
              </w:rPr>
              <w:t>CRITICAL COMPLIANCE RULES:</w:t>
              <w:br/>
              <w:t>1. Every structural record must belong to a Care Episode.</w:t>
              <w:br/>
              <w:t>2. Care Plans must be completely version-controlled.</w:t>
              <w:br/>
              <w:t>3. Tasks serve as the hard execution layer.</w:t>
              <w:br/>
              <w:t>4. Ban on free-text dependency for clinical data.</w:t>
              <w:br/>
              <w:t>5. Multi-branch native architecture required.</w:t>
            </w:r>
          </w:p>
        </w:tc>
      </w:tr>
    </w:tbl>
    <w:p/>
    <w:p>
      <w:pPr>
        <w:keepNext/>
        <w:spacing w:before="320" w:after="120"/>
      </w:pPr>
      <w:r>
        <w:rPr>
          <w:rFonts w:ascii="Arial" w:hAnsi="Arial"/>
          <w:b/>
          <w:color w:val="2B6CB0"/>
          <w:sz w:val="26"/>
        </w:rPr>
        <w:t>Developer Review Summary Checklist</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A365D"/>
            <w:tcMar>
              <w:top w:w="120" w:type="dxa"/>
              <w:bottom w:w="120" w:type="dxa"/>
              <w:left w:w="150" w:type="dxa"/>
              <w:right w:w="150" w:type="dxa"/>
            </w:tcMar>
          </w:tcPr>
          <w:p>
            <w:r>
              <w:rPr>
                <w:b/>
                <w:color w:val="FFFFFF"/>
              </w:rPr>
              <w:t>Core Component</w:t>
            </w:r>
          </w:p>
        </w:tc>
        <w:tc>
          <w:tcPr>
            <w:tcW w:type="dxa" w:w="4680"/>
            <w:shd w:val="clear" w:color="auto" w:fill="1A365D"/>
            <w:tcMar>
              <w:top w:w="120" w:type="dxa"/>
              <w:bottom w:w="120" w:type="dxa"/>
              <w:left w:w="150" w:type="dxa"/>
              <w:right w:w="150" w:type="dxa"/>
            </w:tcMar>
          </w:tcPr>
          <w:p>
            <w:r>
              <w:rPr>
                <w:b/>
                <w:color w:val="FFFFFF"/>
              </w:rPr>
              <w:t>Implementation Rule</w:t>
            </w:r>
          </w:p>
        </w:tc>
      </w:tr>
      <w:tr>
        <w:tc>
          <w:tcPr>
            <w:tcW w:type="dxa" w:w="4680"/>
            <w:tcMar>
              <w:top w:w="100" w:type="dxa"/>
              <w:bottom w:w="100" w:type="dxa"/>
              <w:left w:w="150" w:type="dxa"/>
              <w:right w:w="150" w:type="dxa"/>
            </w:tcMar>
          </w:tcPr>
          <w:p>
            <w:r>
              <w:t>Care Episode</w:t>
            </w:r>
          </w:p>
        </w:tc>
        <w:tc>
          <w:tcPr>
            <w:tcW w:type="dxa" w:w="4680"/>
            <w:tcMar>
              <w:top w:w="100" w:type="dxa"/>
              <w:bottom w:w="100" w:type="dxa"/>
              <w:left w:w="150" w:type="dxa"/>
              <w:right w:w="150" w:type="dxa"/>
            </w:tcMar>
          </w:tcPr>
          <w:p>
            <w:r>
              <w:t>Must act as the foundational parent for all records.</w:t>
            </w:r>
          </w:p>
        </w:tc>
      </w:tr>
      <w:tr>
        <w:tc>
          <w:tcPr>
            <w:tcW w:type="dxa" w:w="4680"/>
            <w:tcMar>
              <w:top w:w="100" w:type="dxa"/>
              <w:bottom w:w="100" w:type="dxa"/>
              <w:left w:w="150" w:type="dxa"/>
              <w:right w:w="150" w:type="dxa"/>
            </w:tcMar>
            <w:shd w:val="clear" w:color="auto" w:fill="F7FAFC"/>
          </w:tcPr>
          <w:p>
            <w:r>
              <w:t>Task Engine</w:t>
            </w:r>
          </w:p>
        </w:tc>
        <w:tc>
          <w:tcPr>
            <w:tcW w:type="dxa" w:w="4680"/>
            <w:tcMar>
              <w:top w:w="100" w:type="dxa"/>
              <w:bottom w:w="100" w:type="dxa"/>
              <w:left w:w="150" w:type="dxa"/>
              <w:right w:w="150" w:type="dxa"/>
            </w:tcMar>
            <w:shd w:val="clear" w:color="auto" w:fill="F7FAFC"/>
          </w:tcPr>
          <w:p>
            <w:r>
              <w:t>Auto-generates execution tasks from Care Plans.</w:t>
            </w:r>
          </w:p>
        </w:tc>
      </w:tr>
      <w:tr>
        <w:tc>
          <w:tcPr>
            <w:tcW w:type="dxa" w:w="4680"/>
            <w:tcMar>
              <w:top w:w="100" w:type="dxa"/>
              <w:bottom w:w="100" w:type="dxa"/>
              <w:left w:w="150" w:type="dxa"/>
              <w:right w:w="150" w:type="dxa"/>
            </w:tcMar>
          </w:tcPr>
          <w:p>
            <w:r>
              <w:t>RTL Layout</w:t>
            </w:r>
          </w:p>
        </w:tc>
        <w:tc>
          <w:tcPr>
            <w:tcW w:type="dxa" w:w="4680"/>
            <w:tcMar>
              <w:top w:w="100" w:type="dxa"/>
              <w:bottom w:w="100" w:type="dxa"/>
              <w:left w:w="150" w:type="dxa"/>
              <w:right w:w="150" w:type="dxa"/>
            </w:tcMar>
          </w:tcPr>
          <w:p>
            <w:r>
              <w:t>Native Arabic interface on onboarding and family screens.</w:t>
            </w:r>
          </w:p>
        </w:tc>
      </w:tr>
      <w:tr>
        <w:tc>
          <w:tcPr>
            <w:tcW w:type="dxa" w:w="4680"/>
            <w:tcMar>
              <w:top w:w="100" w:type="dxa"/>
              <w:bottom w:w="100" w:type="dxa"/>
              <w:left w:w="150" w:type="dxa"/>
              <w:right w:w="150" w:type="dxa"/>
            </w:tcMar>
            <w:shd w:val="clear" w:color="auto" w:fill="F7FAFC"/>
          </w:tcPr>
          <w:p>
            <w:r>
              <w:t>State Machines</w:t>
            </w:r>
          </w:p>
        </w:tc>
        <w:tc>
          <w:tcPr>
            <w:tcW w:type="dxa" w:w="4680"/>
            <w:tcMar>
              <w:top w:w="100" w:type="dxa"/>
              <w:bottom w:w="100" w:type="dxa"/>
              <w:left w:w="150" w:type="dxa"/>
              <w:right w:w="150" w:type="dxa"/>
            </w:tcMar>
            <w:shd w:val="clear" w:color="auto" w:fill="F7FAFC"/>
          </w:tcPr>
          <w:p>
            <w:r>
              <w:t>Strict data constraints for Episode, Plan, and Booking transitions.</w:t>
            </w:r>
          </w:p>
        </w:tc>
      </w:tr>
      <w:tr>
        <w:tc>
          <w:tcPr>
            <w:tcW w:type="dxa" w:w="4680"/>
            <w:tcMar>
              <w:top w:w="100" w:type="dxa"/>
              <w:bottom w:w="100" w:type="dxa"/>
              <w:left w:w="150" w:type="dxa"/>
              <w:right w:w="150" w:type="dxa"/>
            </w:tcMar>
          </w:tcPr>
          <w:p>
            <w:r>
              <w:t>No Generic Notes</w:t>
            </w:r>
          </w:p>
        </w:tc>
        <w:tc>
          <w:tcPr>
            <w:tcW w:type="dxa" w:w="4680"/>
            <w:tcMar>
              <w:top w:w="100" w:type="dxa"/>
              <w:bottom w:w="100" w:type="dxa"/>
              <w:left w:w="150" w:type="dxa"/>
              <w:right w:w="150" w:type="dxa"/>
            </w:tcMar>
          </w:tcPr>
          <w:p>
            <w:r>
              <w:t>Complete database separation by operational role.</w:t>
            </w:r>
          </w:p>
        </w:tc>
      </w:tr>
      <w:tr>
        <w:tc>
          <w:tcPr>
            <w:tcW w:type="dxa" w:w="4680"/>
            <w:tcMar>
              <w:top w:w="100" w:type="dxa"/>
              <w:bottom w:w="100" w:type="dxa"/>
              <w:left w:w="150" w:type="dxa"/>
              <w:right w:w="150" w:type="dxa"/>
            </w:tcMar>
            <w:shd w:val="clear" w:color="auto" w:fill="F7FAFC"/>
          </w:tcPr>
          <w:p>
            <w:r>
              <w:t>AI Guardrails</w:t>
            </w:r>
          </w:p>
        </w:tc>
        <w:tc>
          <w:tcPr>
            <w:tcW w:type="dxa" w:w="4680"/>
            <w:tcMar>
              <w:top w:w="100" w:type="dxa"/>
              <w:bottom w:w="100" w:type="dxa"/>
              <w:left w:w="150" w:type="dxa"/>
              <w:right w:w="150" w:type="dxa"/>
            </w:tcMar>
            <w:shd w:val="clear" w:color="auto" w:fill="F7FAFC"/>
          </w:tcPr>
          <w:p>
            <w:r>
              <w:t>Human-in-the-loop validation with full edit controls.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