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B12" w14:textId="04E93DDD" w:rsidR="00C03592" w:rsidRPr="00431361" w:rsidRDefault="00C03592" w:rsidP="00431361">
      <w:pPr>
        <w:shd w:val="clear" w:color="auto" w:fill="000000"/>
        <w:spacing w:after="0" w:line="240" w:lineRule="auto"/>
        <w:jc w:val="center"/>
        <w:textAlignment w:val="baseline"/>
        <w:outlineLvl w:val="0"/>
        <w:rPr>
          <w:rFonts w:ascii="Arial" w:eastAsia="Times New Roman" w:hAnsi="Arial" w:cs="Arial"/>
          <w:b/>
          <w:bCs/>
          <w:color w:val="FFFFFF"/>
          <w:spacing w:val="-7"/>
          <w:kern w:val="36"/>
          <w:sz w:val="48"/>
          <w:szCs w:val="48"/>
          <w:lang w:eastAsia="en-IE"/>
        </w:rPr>
      </w:pPr>
      <w:bookmarkStart w:id="0" w:name="_Hlk93312930"/>
      <w:bookmarkEnd w:id="0"/>
      <w:r w:rsidRPr="00431361">
        <w:rPr>
          <w:rFonts w:ascii="Arial" w:eastAsia="Times New Roman" w:hAnsi="Arial" w:cs="Arial"/>
          <w:b/>
          <w:bCs/>
          <w:color w:val="FFFFFF"/>
          <w:spacing w:val="-7"/>
          <w:kern w:val="36"/>
          <w:sz w:val="48"/>
          <w:szCs w:val="48"/>
          <w:lang w:eastAsia="en-IE"/>
        </w:rPr>
        <w:t>COP</w:t>
      </w:r>
      <w:r w:rsidRPr="00431361">
        <w:rPr>
          <w:rFonts w:ascii="Arial" w:eastAsia="Times New Roman" w:hAnsi="Arial" w:cs="Arial"/>
          <w:b/>
          <w:bCs/>
          <w:color w:val="FFFFFF"/>
          <w:spacing w:val="-7"/>
          <w:kern w:val="36"/>
          <w:sz w:val="48"/>
          <w:szCs w:val="48"/>
          <w:lang w:eastAsia="en-IE"/>
        </w:rPr>
        <w:t>26</w:t>
      </w:r>
    </w:p>
    <w:p w14:paraId="61FE7403" w14:textId="076F5537" w:rsidR="007E22A8" w:rsidRPr="000373B9" w:rsidRDefault="007E22A8">
      <w:pPr>
        <w:rPr>
          <w:b/>
          <w:bCs/>
          <w:sz w:val="28"/>
          <w:szCs w:val="28"/>
          <w:lang w:val="en-US"/>
        </w:rPr>
      </w:pPr>
      <w:r w:rsidRPr="000373B9">
        <w:rPr>
          <w:b/>
          <w:bCs/>
          <w:sz w:val="28"/>
          <w:szCs w:val="28"/>
          <w:lang w:val="en-US"/>
        </w:rPr>
        <w:t>Objectives of cop26?</w:t>
      </w:r>
    </w:p>
    <w:p w14:paraId="78EDC32F" w14:textId="15A0E6D7" w:rsidR="000373B9" w:rsidRPr="000373B9" w:rsidRDefault="000373B9" w:rsidP="006A5A2A">
      <w:pPr>
        <w:spacing w:after="0"/>
        <w:rPr>
          <w:lang w:val="en-US"/>
        </w:rPr>
      </w:pPr>
      <w:r w:rsidRPr="000373B9">
        <w:rPr>
          <w:lang w:val="en-US"/>
        </w:rPr>
        <w:t>There are four objectives of COP26 which are the commitments to limit climate change</w:t>
      </w:r>
      <w:r w:rsidR="00B34262">
        <w:rPr>
          <w:lang w:val="en-US"/>
        </w:rPr>
        <w:t xml:space="preserve">. </w:t>
      </w:r>
      <w:r w:rsidRPr="000373B9">
        <w:rPr>
          <w:lang w:val="en-US"/>
        </w:rPr>
        <w:t>The 26</w:t>
      </w:r>
      <w:r w:rsidRPr="000373B9">
        <w:rPr>
          <w:vertAlign w:val="superscript"/>
          <w:lang w:val="en-US"/>
        </w:rPr>
        <w:t>th</w:t>
      </w:r>
      <w:r w:rsidRPr="000373B9">
        <w:rPr>
          <w:lang w:val="en-US"/>
        </w:rPr>
        <w:t xml:space="preserve"> conference of parties (COP) was held in Glasgow, where four objectives were discussed. </w:t>
      </w:r>
    </w:p>
    <w:p w14:paraId="5465D40A" w14:textId="77777777" w:rsidR="000373B9" w:rsidRPr="003331E7" w:rsidRDefault="000373B9" w:rsidP="006A5A2A">
      <w:pPr>
        <w:pStyle w:val="ListParagraph"/>
        <w:numPr>
          <w:ilvl w:val="0"/>
          <w:numId w:val="1"/>
        </w:numPr>
        <w:spacing w:after="0"/>
        <w:rPr>
          <w:b/>
          <w:bCs/>
          <w:lang w:val="en-US"/>
        </w:rPr>
      </w:pPr>
      <w:r w:rsidRPr="003331E7">
        <w:rPr>
          <w:b/>
          <w:bCs/>
          <w:lang w:val="en-US"/>
        </w:rPr>
        <w:t>Net zero and 1.5 degrees:</w:t>
      </w:r>
    </w:p>
    <w:p w14:paraId="6184681C" w14:textId="77777777" w:rsidR="000373B9" w:rsidRDefault="000373B9" w:rsidP="006A5A2A">
      <w:pPr>
        <w:spacing w:after="0"/>
        <w:ind w:left="360"/>
        <w:rPr>
          <w:lang w:val="en-US"/>
        </w:rPr>
      </w:pPr>
      <w:r w:rsidRPr="003331E7">
        <w:rPr>
          <w:lang w:val="en-US"/>
        </w:rPr>
        <w:t xml:space="preserve">Countries are called onto reach net-zero carbon emissions by 2050 and to keep </w:t>
      </w:r>
      <w:proofErr w:type="spellStart"/>
      <w:r w:rsidRPr="003331E7">
        <w:rPr>
          <w:lang w:val="en-US"/>
        </w:rPr>
        <w:t>bloble</w:t>
      </w:r>
      <w:proofErr w:type="spellEnd"/>
      <w:r w:rsidRPr="003331E7">
        <w:rPr>
          <w:lang w:val="en-US"/>
        </w:rPr>
        <w:t xml:space="preserve"> temperature below 1.5C</w:t>
      </w:r>
      <w:r>
        <w:rPr>
          <w:lang w:val="en-US"/>
        </w:rPr>
        <w:t>.</w:t>
      </w:r>
    </w:p>
    <w:p w14:paraId="2F9AEA44" w14:textId="77777777" w:rsidR="000373B9" w:rsidRPr="003331E7" w:rsidRDefault="000373B9" w:rsidP="006A5A2A">
      <w:pPr>
        <w:pStyle w:val="ListParagraph"/>
        <w:numPr>
          <w:ilvl w:val="0"/>
          <w:numId w:val="1"/>
        </w:numPr>
        <w:spacing w:after="0"/>
        <w:rPr>
          <w:b/>
          <w:bCs/>
          <w:lang w:val="en-US"/>
        </w:rPr>
      </w:pPr>
      <w:r w:rsidRPr="003331E7">
        <w:rPr>
          <w:b/>
          <w:bCs/>
          <w:lang w:val="en-US"/>
        </w:rPr>
        <w:t>Protect ecosystems and habitats:</w:t>
      </w:r>
    </w:p>
    <w:p w14:paraId="651A025A" w14:textId="77777777" w:rsidR="000373B9" w:rsidRDefault="000373B9" w:rsidP="006A5A2A">
      <w:pPr>
        <w:spacing w:after="0"/>
        <w:ind w:left="360"/>
        <w:rPr>
          <w:lang w:val="en-US"/>
        </w:rPr>
      </w:pPr>
      <w:r>
        <w:rPr>
          <w:lang w:val="en-US"/>
        </w:rPr>
        <w:t>States are encouraged to protect and restore ecosystems and build resilient infrastructures to withstand climate change</w:t>
      </w:r>
    </w:p>
    <w:p w14:paraId="31D913C2" w14:textId="77777777" w:rsidR="000373B9" w:rsidRDefault="000373B9" w:rsidP="006A5A2A">
      <w:pPr>
        <w:pStyle w:val="ListParagraph"/>
        <w:numPr>
          <w:ilvl w:val="0"/>
          <w:numId w:val="1"/>
        </w:numPr>
        <w:spacing w:after="0"/>
        <w:rPr>
          <w:b/>
          <w:bCs/>
          <w:lang w:val="en-US"/>
        </w:rPr>
      </w:pPr>
      <w:proofErr w:type="spellStart"/>
      <w:r w:rsidRPr="003331E7">
        <w:rPr>
          <w:b/>
          <w:bCs/>
          <w:lang w:val="en-US"/>
        </w:rPr>
        <w:t>Mobilise</w:t>
      </w:r>
      <w:proofErr w:type="spellEnd"/>
      <w:r w:rsidRPr="003331E7">
        <w:rPr>
          <w:b/>
          <w:bCs/>
          <w:lang w:val="en-US"/>
        </w:rPr>
        <w:t xml:space="preserve"> finance </w:t>
      </w:r>
    </w:p>
    <w:p w14:paraId="6FD7C3E1" w14:textId="77777777" w:rsidR="000373B9" w:rsidRDefault="000373B9" w:rsidP="006A5A2A">
      <w:pPr>
        <w:spacing w:after="0"/>
        <w:ind w:left="360"/>
        <w:rPr>
          <w:lang w:val="en-US"/>
        </w:rPr>
      </w:pPr>
      <w:r w:rsidRPr="003331E7">
        <w:rPr>
          <w:lang w:val="en-US"/>
        </w:rPr>
        <w:t xml:space="preserve">Developed nations are asked to </w:t>
      </w:r>
      <w:proofErr w:type="spellStart"/>
      <w:r w:rsidRPr="003331E7">
        <w:rPr>
          <w:lang w:val="en-US"/>
        </w:rPr>
        <w:t>mobilise</w:t>
      </w:r>
      <w:proofErr w:type="spellEnd"/>
      <w:r w:rsidRPr="003331E7">
        <w:rPr>
          <w:lang w:val="en-US"/>
        </w:rPr>
        <w:t xml:space="preserve"> $100bn in climate finance per year for poorer nations to tackle climate changes</w:t>
      </w:r>
    </w:p>
    <w:p w14:paraId="438276BD" w14:textId="77777777" w:rsidR="000373B9" w:rsidRPr="000373B9" w:rsidRDefault="000373B9" w:rsidP="006A5A2A">
      <w:pPr>
        <w:pStyle w:val="ListParagraph"/>
        <w:numPr>
          <w:ilvl w:val="0"/>
          <w:numId w:val="1"/>
        </w:numPr>
        <w:spacing w:after="0"/>
        <w:rPr>
          <w:b/>
          <w:bCs/>
          <w:lang w:val="en-US"/>
        </w:rPr>
      </w:pPr>
      <w:r w:rsidRPr="000373B9">
        <w:rPr>
          <w:b/>
          <w:bCs/>
          <w:lang w:val="en-US"/>
        </w:rPr>
        <w:t>Collaboration</w:t>
      </w:r>
    </w:p>
    <w:p w14:paraId="1C16D392" w14:textId="32BF5331" w:rsidR="000373B9" w:rsidRPr="000373B9" w:rsidRDefault="000373B9" w:rsidP="006A5A2A">
      <w:pPr>
        <w:spacing w:after="0"/>
        <w:ind w:left="360"/>
        <w:rPr>
          <w:lang w:val="en-US"/>
        </w:rPr>
      </w:pPr>
      <w:r>
        <w:rPr>
          <w:lang w:val="en-US"/>
        </w:rPr>
        <w:t xml:space="preserve">COP26 parties are required to collaborate to finalize the Paris Rulebook, which sets out the rules of the Paris agreement. </w:t>
      </w:r>
    </w:p>
    <w:p w14:paraId="2E6C530D" w14:textId="70E75FC1" w:rsidR="007E22A8" w:rsidRPr="000E2FC2" w:rsidRDefault="007E22A8">
      <w:pPr>
        <w:rPr>
          <w:b/>
          <w:bCs/>
          <w:sz w:val="28"/>
          <w:szCs w:val="28"/>
          <w:lang w:val="en-US"/>
        </w:rPr>
      </w:pPr>
      <w:r w:rsidRPr="000E2FC2">
        <w:rPr>
          <w:b/>
          <w:bCs/>
          <w:sz w:val="28"/>
          <w:szCs w:val="28"/>
          <w:lang w:val="en-US"/>
        </w:rPr>
        <w:t>How are they met?</w:t>
      </w:r>
    </w:p>
    <w:p w14:paraId="775170F6" w14:textId="6BA40443" w:rsidR="000373B9" w:rsidRDefault="00D47E31">
      <w:pPr>
        <w:rPr>
          <w:lang w:val="en-US"/>
        </w:rPr>
      </w:pPr>
      <w:r>
        <w:rPr>
          <w:lang w:val="en-US"/>
        </w:rPr>
        <w:t xml:space="preserve">To </w:t>
      </w:r>
      <w:r w:rsidR="00EE6E61">
        <w:rPr>
          <w:lang w:val="en-US"/>
        </w:rPr>
        <w:t xml:space="preserve">meet the requirement of COP26, more than </w:t>
      </w:r>
      <w:r w:rsidR="00E748CC" w:rsidRPr="00E748CC">
        <w:rPr>
          <w:lang w:val="en-US"/>
        </w:rPr>
        <w:t xml:space="preserve">20 governments and financial institutions </w:t>
      </w:r>
      <w:r w:rsidR="00F54915">
        <w:rPr>
          <w:lang w:val="en-US"/>
        </w:rPr>
        <w:t>like (</w:t>
      </w:r>
      <w:r w:rsidR="00F54915" w:rsidRPr="00E748CC">
        <w:rPr>
          <w:lang w:val="en-US"/>
        </w:rPr>
        <w:t>energy financing</w:t>
      </w:r>
      <w:r w:rsidR="00F54915">
        <w:rPr>
          <w:lang w:val="en-US"/>
        </w:rPr>
        <w:t xml:space="preserve">) </w:t>
      </w:r>
      <w:r w:rsidR="00E748CC" w:rsidRPr="00E748CC">
        <w:rPr>
          <w:lang w:val="en-US"/>
        </w:rPr>
        <w:t xml:space="preserve">agreed to stop funding new overseas fossil fuel projects with public money by the end of 2022. </w:t>
      </w:r>
    </w:p>
    <w:p w14:paraId="24FBB868" w14:textId="2A268E48" w:rsidR="006260A5" w:rsidRDefault="006260A5">
      <w:pPr>
        <w:rPr>
          <w:lang w:val="en-US"/>
        </w:rPr>
      </w:pPr>
      <w:r>
        <w:rPr>
          <w:lang w:val="en-US"/>
        </w:rPr>
        <w:t xml:space="preserve">When all </w:t>
      </w:r>
      <w:r w:rsidR="00BE61CE">
        <w:rPr>
          <w:lang w:val="en-US"/>
        </w:rPr>
        <w:t>those</w:t>
      </w:r>
      <w:r>
        <w:rPr>
          <w:lang w:val="en-US"/>
        </w:rPr>
        <w:t xml:space="preserve"> countries signed </w:t>
      </w:r>
      <w:r w:rsidR="00BE61CE">
        <w:rPr>
          <w:lang w:val="en-US"/>
        </w:rPr>
        <w:t>Paris</w:t>
      </w:r>
      <w:r>
        <w:rPr>
          <w:lang w:val="en-US"/>
        </w:rPr>
        <w:t xml:space="preserve"> agreement</w:t>
      </w:r>
      <w:r w:rsidR="00BE61CE">
        <w:rPr>
          <w:lang w:val="en-US"/>
        </w:rPr>
        <w:t xml:space="preserve">, no countries had a plan to meet these </w:t>
      </w:r>
      <w:r w:rsidR="00BE61CE" w:rsidRPr="000373B9">
        <w:rPr>
          <w:lang w:val="en-US"/>
        </w:rPr>
        <w:t>commitments</w:t>
      </w:r>
      <w:r w:rsidR="00BE61CE">
        <w:rPr>
          <w:lang w:val="en-US"/>
        </w:rPr>
        <w:t xml:space="preserve">. However, At COP26, countries had to present their plans known as nationally determined contribution (NDC). </w:t>
      </w:r>
      <w:r w:rsidR="00313C72">
        <w:rPr>
          <w:lang w:val="en-US"/>
        </w:rPr>
        <w:t>The success of the conference is judged by how ambitions and binding these plans are.</w:t>
      </w:r>
    </w:p>
    <w:p w14:paraId="242D2218" w14:textId="1CFEE086" w:rsidR="00313C72" w:rsidRPr="00C667B4" w:rsidRDefault="00C667B4" w:rsidP="00C667B4">
      <w:pPr>
        <w:pStyle w:val="ListParagraph"/>
        <w:numPr>
          <w:ilvl w:val="0"/>
          <w:numId w:val="1"/>
        </w:numPr>
        <w:rPr>
          <w:lang w:val="en-US"/>
        </w:rPr>
      </w:pPr>
      <w:r w:rsidRPr="00C667B4">
        <w:rPr>
          <w:lang w:val="en-US"/>
        </w:rPr>
        <w:t xml:space="preserve">The </w:t>
      </w:r>
      <w:r w:rsidRPr="00C667B4">
        <w:rPr>
          <w:b/>
          <w:bCs/>
          <w:lang w:val="en-US"/>
        </w:rPr>
        <w:t>NDC</w:t>
      </w:r>
      <w:r w:rsidRPr="00C667B4">
        <w:rPr>
          <w:lang w:val="en-US"/>
        </w:rPr>
        <w:t xml:space="preserve"> of the USA is to achieve an economy-wide target of reducing greenhouse gas emissions by 50-52 % below 2005 levels in 2030. </w:t>
      </w:r>
    </w:p>
    <w:p w14:paraId="51831F76" w14:textId="38472C96" w:rsidR="00C667B4" w:rsidRDefault="00C667B4" w:rsidP="00C667B4">
      <w:pPr>
        <w:pStyle w:val="ListParagraph"/>
        <w:numPr>
          <w:ilvl w:val="0"/>
          <w:numId w:val="1"/>
        </w:numPr>
        <w:rPr>
          <w:lang w:val="en-US"/>
        </w:rPr>
      </w:pPr>
      <w:r w:rsidRPr="00C667B4">
        <w:rPr>
          <w:lang w:val="en-US"/>
        </w:rPr>
        <w:t>Canada's NDC is to reduce emissions by 40-45% below 2005 levels by 2030.</w:t>
      </w:r>
    </w:p>
    <w:p w14:paraId="1D864E89" w14:textId="1CB2C2E2" w:rsidR="00D5260B" w:rsidRPr="000E2FC2" w:rsidRDefault="00D5260B" w:rsidP="00D5260B">
      <w:pPr>
        <w:rPr>
          <w:b/>
          <w:bCs/>
          <w:sz w:val="28"/>
          <w:szCs w:val="28"/>
          <w:lang w:val="en-US"/>
        </w:rPr>
      </w:pPr>
      <w:r w:rsidRPr="000E2FC2">
        <w:rPr>
          <w:b/>
          <w:bCs/>
          <w:sz w:val="28"/>
          <w:szCs w:val="28"/>
          <w:lang w:val="en-US"/>
        </w:rPr>
        <w:t>Did they</w:t>
      </w:r>
      <w:r w:rsidRPr="000E2FC2">
        <w:rPr>
          <w:sz w:val="28"/>
          <w:szCs w:val="28"/>
          <w:lang w:val="en-US"/>
        </w:rPr>
        <w:t xml:space="preserve"> </w:t>
      </w:r>
      <w:r w:rsidRPr="000E2FC2">
        <w:rPr>
          <w:b/>
          <w:bCs/>
          <w:sz w:val="28"/>
          <w:szCs w:val="28"/>
          <w:lang w:val="en-US"/>
        </w:rPr>
        <w:t>meet?</w:t>
      </w:r>
    </w:p>
    <w:p w14:paraId="168B5953" w14:textId="77777777" w:rsidR="00D5260B" w:rsidRDefault="00D5260B" w:rsidP="00D5260B">
      <w:pPr>
        <w:rPr>
          <w:lang w:val="en-US"/>
        </w:rPr>
      </w:pPr>
      <w:r>
        <w:rPr>
          <w:lang w:val="en-US"/>
        </w:rPr>
        <w:t xml:space="preserve">The </w:t>
      </w:r>
      <w:r w:rsidRPr="00D47E31">
        <w:rPr>
          <w:lang w:val="en-US"/>
        </w:rPr>
        <w:t>COP26 fell well short of delivering the national commitments that would together limit warming globally to 1.5C.</w:t>
      </w:r>
      <w:r>
        <w:rPr>
          <w:lang w:val="en-US"/>
        </w:rPr>
        <w:t xml:space="preserve"> However</w:t>
      </w:r>
      <w:r w:rsidRPr="00D47E31">
        <w:rPr>
          <w:lang w:val="en-US"/>
        </w:rPr>
        <w:t xml:space="preserve">, </w:t>
      </w:r>
      <w:r>
        <w:rPr>
          <w:lang w:val="en-US"/>
        </w:rPr>
        <w:t>t</w:t>
      </w:r>
      <w:r w:rsidRPr="00D47E31">
        <w:rPr>
          <w:lang w:val="en-US"/>
        </w:rPr>
        <w:t>here were notable successes in terms of agreement on the '</w:t>
      </w:r>
      <w:r>
        <w:rPr>
          <w:lang w:val="en-US"/>
        </w:rPr>
        <w:t xml:space="preserve">Paris </w:t>
      </w:r>
      <w:r w:rsidRPr="00D47E31">
        <w:rPr>
          <w:lang w:val="en-US"/>
        </w:rPr>
        <w:t xml:space="preserve">rule book' and strong multinational initiatives on tackling key issues such as deforestation and methane emissions. </w:t>
      </w:r>
    </w:p>
    <w:p w14:paraId="7AEE8211" w14:textId="77777777" w:rsidR="00D5260B" w:rsidRDefault="00D5260B" w:rsidP="00D5260B">
      <w:pPr>
        <w:rPr>
          <w:lang w:val="en-US"/>
        </w:rPr>
      </w:pPr>
      <w:r>
        <w:rPr>
          <w:lang w:val="en-US"/>
        </w:rPr>
        <w:t xml:space="preserve">When looking back at Cop21 which completely failed to address that we must </w:t>
      </w:r>
      <w:r w:rsidRPr="006260A5">
        <w:rPr>
          <w:lang w:val="en-US"/>
        </w:rPr>
        <w:t>stop burning fossil fuels and switch to clean energy. This failure is rooted in the power the fossil fuel industry holds over countries around the world</w:t>
      </w:r>
      <w:r>
        <w:rPr>
          <w:lang w:val="en-US"/>
        </w:rPr>
        <w:t>.</w:t>
      </w:r>
    </w:p>
    <w:p w14:paraId="6F8876DE" w14:textId="1A21C5ED" w:rsidR="007E22A8" w:rsidRPr="000E2FC2" w:rsidRDefault="007E22A8">
      <w:pPr>
        <w:rPr>
          <w:b/>
          <w:bCs/>
          <w:sz w:val="28"/>
          <w:szCs w:val="28"/>
          <w:lang w:val="en-US"/>
        </w:rPr>
      </w:pPr>
      <w:r w:rsidRPr="000E2FC2">
        <w:rPr>
          <w:b/>
          <w:bCs/>
          <w:sz w:val="28"/>
          <w:szCs w:val="28"/>
          <w:lang w:val="en-US"/>
        </w:rPr>
        <w:t>You think the</w:t>
      </w:r>
      <w:r w:rsidR="000E2FC2" w:rsidRPr="000E2FC2">
        <w:rPr>
          <w:b/>
          <w:bCs/>
          <w:sz w:val="28"/>
          <w:szCs w:val="28"/>
          <w:lang w:val="en-US"/>
        </w:rPr>
        <w:t>y</w:t>
      </w:r>
      <w:r w:rsidRPr="000E2FC2">
        <w:rPr>
          <w:b/>
          <w:bCs/>
          <w:sz w:val="28"/>
          <w:szCs w:val="28"/>
          <w:lang w:val="en-US"/>
        </w:rPr>
        <w:t xml:space="preserve"> are achievable?</w:t>
      </w:r>
    </w:p>
    <w:p w14:paraId="3747997C" w14:textId="6A3B3C80" w:rsidR="00313C72" w:rsidRDefault="00D5260B">
      <w:pPr>
        <w:rPr>
          <w:b/>
          <w:bCs/>
          <w:lang w:val="en-US"/>
        </w:rPr>
      </w:pPr>
      <w:r w:rsidRPr="00D5260B">
        <w:rPr>
          <w:lang w:val="en-US"/>
        </w:rPr>
        <w:t xml:space="preserve">I think it is achievable if countries </w:t>
      </w:r>
      <w:r w:rsidR="00567B9E" w:rsidRPr="00D5260B">
        <w:rPr>
          <w:lang w:val="en-US"/>
        </w:rPr>
        <w:t>work together to enable and encourage countries affected by climate change </w:t>
      </w:r>
      <w:r w:rsidR="000E2FC2" w:rsidRPr="00D5260B">
        <w:rPr>
          <w:lang w:val="en-US"/>
        </w:rPr>
        <w:t>to</w:t>
      </w:r>
      <w:r w:rsidR="00567B9E" w:rsidRPr="00D5260B">
        <w:rPr>
          <w:lang w:val="en-US"/>
        </w:rPr>
        <w:t xml:space="preserve"> protect and restore ecosystems. build defences, warning systems and resilient infrastructure and agriculture to avoid loss of homes, livelihoods and even lives.</w:t>
      </w:r>
    </w:p>
    <w:p w14:paraId="70EDB5B6" w14:textId="77777777" w:rsidR="00C03592" w:rsidRDefault="00C03592" w:rsidP="000E2FC2">
      <w:pPr>
        <w:jc w:val="center"/>
        <w:rPr>
          <w:b/>
          <w:bCs/>
          <w:sz w:val="40"/>
          <w:szCs w:val="40"/>
          <w:lang w:val="en-US"/>
        </w:rPr>
      </w:pPr>
    </w:p>
    <w:p w14:paraId="519C975C" w14:textId="6ECAB0CE" w:rsidR="000E2FC2" w:rsidRPr="00431361" w:rsidRDefault="000E2FC2" w:rsidP="00431361">
      <w:pPr>
        <w:shd w:val="clear" w:color="auto" w:fill="000000"/>
        <w:spacing w:after="0" w:line="240" w:lineRule="auto"/>
        <w:jc w:val="center"/>
        <w:textAlignment w:val="baseline"/>
        <w:outlineLvl w:val="0"/>
        <w:rPr>
          <w:rFonts w:ascii="Arial" w:eastAsia="Times New Roman" w:hAnsi="Arial" w:cs="Arial"/>
          <w:b/>
          <w:bCs/>
          <w:color w:val="FFFFFF"/>
          <w:spacing w:val="-7"/>
          <w:kern w:val="36"/>
          <w:sz w:val="48"/>
          <w:szCs w:val="48"/>
          <w:lang w:eastAsia="en-IE"/>
        </w:rPr>
      </w:pPr>
      <w:r w:rsidRPr="00431361">
        <w:rPr>
          <w:rFonts w:ascii="Arial" w:eastAsia="Times New Roman" w:hAnsi="Arial" w:cs="Arial"/>
          <w:b/>
          <w:bCs/>
          <w:color w:val="FFFFFF"/>
          <w:spacing w:val="-7"/>
          <w:kern w:val="36"/>
          <w:sz w:val="48"/>
          <w:szCs w:val="48"/>
          <w:lang w:eastAsia="en-IE"/>
        </w:rPr>
        <w:t>Hydrogen</w:t>
      </w:r>
    </w:p>
    <w:p w14:paraId="26E9F1FA" w14:textId="06DFF9F8" w:rsidR="000E2FC2" w:rsidRDefault="000E2FC2" w:rsidP="000E2FC2">
      <w:pPr>
        <w:rPr>
          <w:b/>
          <w:bCs/>
          <w:lang w:val="en-US"/>
        </w:rPr>
      </w:pPr>
      <w:r>
        <w:rPr>
          <w:b/>
          <w:bCs/>
          <w:sz w:val="28"/>
          <w:szCs w:val="28"/>
          <w:lang w:val="en-US"/>
        </w:rPr>
        <w:t>What will hydrogen role be in the future for reducing emissions?</w:t>
      </w:r>
    </w:p>
    <w:p w14:paraId="0B40C22C" w14:textId="49B862FD" w:rsidR="008B7D6E" w:rsidRDefault="008B7D6E" w:rsidP="000E2FC2">
      <w:pPr>
        <w:rPr>
          <w:rFonts w:ascii="Arial" w:hAnsi="Arial" w:cs="Arial"/>
          <w:color w:val="202124"/>
          <w:shd w:val="clear" w:color="auto" w:fill="FFFFFF"/>
        </w:rPr>
      </w:pPr>
      <w:r>
        <w:rPr>
          <w:rFonts w:ascii="Arial" w:hAnsi="Arial" w:cs="Arial"/>
          <w:color w:val="202124"/>
          <w:shd w:val="clear" w:color="auto" w:fill="FFFFFF"/>
        </w:rPr>
        <w:t>Hydrogen generates electrical power in a fuel cell, emitting only water vapor and warm air. It has potential for growth in both the stationery and transportation energy sectors. So, when m</w:t>
      </w:r>
      <w:r w:rsidRPr="008B7D6E">
        <w:rPr>
          <w:rFonts w:ascii="Arial" w:hAnsi="Arial" w:cs="Arial"/>
          <w:color w:val="202124"/>
          <w:shd w:val="clear" w:color="auto" w:fill="FFFFFF"/>
        </w:rPr>
        <w:t>oving from diesel trains to fuel cell trains that link with a network of fuel cell buses</w:t>
      </w:r>
      <w:r>
        <w:rPr>
          <w:rFonts w:ascii="Arial" w:hAnsi="Arial" w:cs="Arial"/>
          <w:color w:val="202124"/>
          <w:shd w:val="clear" w:color="auto" w:fill="FFFFFF"/>
        </w:rPr>
        <w:t> would provide a cost-effective solution to reduce carbon emissions because Hydrogen fuel cells are cleaner and more efficient than traditional combustion-based engines and power plants.</w:t>
      </w:r>
    </w:p>
    <w:p w14:paraId="59854DC6" w14:textId="20A69606" w:rsidR="000E2FC2" w:rsidRDefault="008B7D6E" w:rsidP="000E2FC2">
      <w:pPr>
        <w:rPr>
          <w:rFonts w:ascii="Arial" w:hAnsi="Arial" w:cs="Arial"/>
          <w:color w:val="202124"/>
          <w:shd w:val="clear" w:color="auto" w:fill="FFFFFF"/>
        </w:rPr>
      </w:pPr>
      <w:r>
        <w:rPr>
          <w:rFonts w:ascii="Arial" w:hAnsi="Arial" w:cs="Arial"/>
          <w:color w:val="202124"/>
          <w:shd w:val="clear" w:color="auto" w:fill="FFFFFF"/>
        </w:rPr>
        <w:t>There are applications where hydrogen and fuel cells can also play a significant role in the oceans.</w:t>
      </w:r>
    </w:p>
    <w:p w14:paraId="31D62080" w14:textId="420B1FAE" w:rsidR="00AA41F0" w:rsidRPr="00AA41F0" w:rsidRDefault="00AA41F0" w:rsidP="000E2FC2">
      <w:pPr>
        <w:rPr>
          <w:b/>
          <w:bCs/>
          <w:lang w:val="en-US"/>
        </w:rPr>
      </w:pPr>
      <w:r>
        <w:rPr>
          <w:b/>
          <w:bCs/>
          <w:sz w:val="28"/>
          <w:szCs w:val="28"/>
          <w:lang w:val="en-US"/>
        </w:rPr>
        <w:t>What will hydrogen fuel cells can be used?</w:t>
      </w:r>
    </w:p>
    <w:p w14:paraId="4930F6E1" w14:textId="4EC44892" w:rsidR="00AA41F0" w:rsidRDefault="00AA41F0" w:rsidP="000E2FC2">
      <w:pPr>
        <w:rPr>
          <w:rFonts w:ascii="Arial" w:hAnsi="Arial" w:cs="Arial"/>
          <w:color w:val="202124"/>
          <w:shd w:val="clear" w:color="auto" w:fill="FFFFFF"/>
        </w:rPr>
      </w:pPr>
      <w:r>
        <w:rPr>
          <w:rFonts w:ascii="Arial" w:hAnsi="Arial" w:cs="Arial"/>
          <w:color w:val="202124"/>
          <w:shd w:val="clear" w:color="auto" w:fill="FFFFFF"/>
        </w:rPr>
        <w:t>Hydrogen can be used in fuel cells to generate power using a chemical reaction rather than combustion, producing only water and heat as by-products. Fuel cells can be used in a wide range of applications, including </w:t>
      </w:r>
      <w:r w:rsidRPr="00AA41F0">
        <w:rPr>
          <w:rFonts w:ascii="Arial" w:hAnsi="Arial" w:cs="Arial"/>
          <w:color w:val="202124"/>
          <w:shd w:val="clear" w:color="auto" w:fill="FFFFFF"/>
        </w:rPr>
        <w:t>transportation, material handling and stationery, portable, and emergency backup power</w:t>
      </w:r>
      <w:r>
        <w:rPr>
          <w:rFonts w:ascii="Arial" w:hAnsi="Arial" w:cs="Arial"/>
          <w:color w:val="202124"/>
          <w:shd w:val="clear" w:color="auto" w:fill="FFFFFF"/>
        </w:rPr>
        <w:t>.</w:t>
      </w:r>
    </w:p>
    <w:p w14:paraId="5B20DDB5" w14:textId="5A0F7557" w:rsidR="00DC4B0C" w:rsidRDefault="00DC4B0C" w:rsidP="000E2FC2">
      <w:pPr>
        <w:rPr>
          <w:b/>
          <w:bCs/>
          <w:sz w:val="28"/>
          <w:szCs w:val="28"/>
          <w:lang w:val="en-US"/>
        </w:rPr>
      </w:pPr>
      <w:r w:rsidRPr="00DC4B0C">
        <w:rPr>
          <w:b/>
          <w:bCs/>
          <w:sz w:val="28"/>
          <w:szCs w:val="28"/>
          <w:lang w:val="en-US"/>
        </w:rPr>
        <w:t>How hydrogen can be stored</w:t>
      </w:r>
      <w:r w:rsidR="00F608E3">
        <w:rPr>
          <w:b/>
          <w:bCs/>
          <w:sz w:val="28"/>
          <w:szCs w:val="28"/>
          <w:lang w:val="en-US"/>
        </w:rPr>
        <w:t xml:space="preserve"> as fuel</w:t>
      </w:r>
      <w:r w:rsidRPr="00DC4B0C">
        <w:rPr>
          <w:b/>
          <w:bCs/>
          <w:sz w:val="28"/>
          <w:szCs w:val="28"/>
          <w:lang w:val="en-US"/>
        </w:rPr>
        <w:t>?</w:t>
      </w:r>
    </w:p>
    <w:p w14:paraId="01037E44" w14:textId="1E1574A2" w:rsidR="00DC4B0C" w:rsidRPr="00DC4B0C" w:rsidRDefault="00DC4B0C" w:rsidP="000E2FC2">
      <w:pPr>
        <w:rPr>
          <w:b/>
          <w:bCs/>
          <w:sz w:val="28"/>
          <w:szCs w:val="28"/>
          <w:lang w:val="en-US"/>
        </w:rPr>
      </w:pPr>
      <w:r>
        <w:rPr>
          <w:rFonts w:ascii="Arial" w:hAnsi="Arial" w:cs="Arial"/>
          <w:color w:val="202124"/>
          <w:shd w:val="clear" w:color="auto" w:fill="FFFFFF"/>
        </w:rPr>
        <w:t>Hydrogen can be stored physically as either </w:t>
      </w:r>
      <w:r>
        <w:rPr>
          <w:rFonts w:ascii="Arial" w:hAnsi="Arial" w:cs="Arial"/>
          <w:b/>
          <w:bCs/>
          <w:color w:val="202124"/>
          <w:shd w:val="clear" w:color="auto" w:fill="FFFFFF"/>
        </w:rPr>
        <w:t>a gas or a liquid</w:t>
      </w:r>
      <w:r>
        <w:rPr>
          <w:rFonts w:ascii="Arial" w:hAnsi="Arial" w:cs="Arial"/>
          <w:color w:val="202124"/>
          <w:shd w:val="clear" w:color="auto" w:fill="FFFFFF"/>
        </w:rPr>
        <w:t xml:space="preserve">. Storage of hydrogen as a gas typically requires high-pressure tanks (350–700 bar [5,000–10,000 psi] tank pressure). </w:t>
      </w:r>
    </w:p>
    <w:p w14:paraId="281E9D03" w14:textId="77777777" w:rsidR="00DC4B0C" w:rsidRDefault="00DC4B0C" w:rsidP="000E2FC2">
      <w:pPr>
        <w:rPr>
          <w:rFonts w:ascii="Arial" w:hAnsi="Arial" w:cs="Arial"/>
          <w:color w:val="202124"/>
          <w:shd w:val="clear" w:color="auto" w:fill="FFFFFF"/>
        </w:rPr>
      </w:pPr>
      <w:r>
        <w:rPr>
          <w:rFonts w:ascii="Arial" w:hAnsi="Arial" w:cs="Arial"/>
          <w:color w:val="202124"/>
          <w:shd w:val="clear" w:color="auto" w:fill="FFFFFF"/>
        </w:rPr>
        <w:t>Hydrogen can be stored in </w:t>
      </w:r>
      <w:r>
        <w:rPr>
          <w:rFonts w:ascii="Arial" w:hAnsi="Arial" w:cs="Arial"/>
          <w:b/>
          <w:bCs/>
          <w:color w:val="202124"/>
          <w:shd w:val="clear" w:color="auto" w:fill="FFFFFF"/>
        </w:rPr>
        <w:t>three ways</w:t>
      </w:r>
      <w:r>
        <w:rPr>
          <w:rFonts w:ascii="Arial" w:hAnsi="Arial" w:cs="Arial"/>
          <w:color w:val="202124"/>
          <w:shd w:val="clear" w:color="auto" w:fill="FFFFFF"/>
        </w:rPr>
        <w:t xml:space="preserve">: </w:t>
      </w:r>
    </w:p>
    <w:p w14:paraId="7A73BEBC" w14:textId="77777777" w:rsidR="00DC4B0C" w:rsidRDefault="00DC4B0C" w:rsidP="00DC4B0C">
      <w:pPr>
        <w:pStyle w:val="ListParagraph"/>
        <w:numPr>
          <w:ilvl w:val="0"/>
          <w:numId w:val="1"/>
        </w:numPr>
        <w:rPr>
          <w:rFonts w:ascii="Arial" w:hAnsi="Arial" w:cs="Arial"/>
          <w:color w:val="202124"/>
          <w:shd w:val="clear" w:color="auto" w:fill="FFFFFF"/>
        </w:rPr>
      </w:pPr>
      <w:r w:rsidRPr="00DC4B0C">
        <w:rPr>
          <w:rFonts w:ascii="Arial" w:hAnsi="Arial" w:cs="Arial"/>
          <w:color w:val="202124"/>
          <w:shd w:val="clear" w:color="auto" w:fill="FFFFFF"/>
        </w:rPr>
        <w:t xml:space="preserve">As a compressed gas in high-pressure tanks. </w:t>
      </w:r>
    </w:p>
    <w:p w14:paraId="6FE2C8E6" w14:textId="77777777" w:rsidR="00DC4B0C" w:rsidRDefault="00DC4B0C" w:rsidP="00DC4B0C">
      <w:pPr>
        <w:pStyle w:val="ListParagraph"/>
        <w:numPr>
          <w:ilvl w:val="0"/>
          <w:numId w:val="1"/>
        </w:numPr>
        <w:rPr>
          <w:rFonts w:ascii="Arial" w:hAnsi="Arial" w:cs="Arial"/>
          <w:color w:val="202124"/>
          <w:shd w:val="clear" w:color="auto" w:fill="FFFFFF"/>
        </w:rPr>
      </w:pPr>
      <w:r w:rsidRPr="00DC4B0C">
        <w:rPr>
          <w:rFonts w:ascii="Arial" w:hAnsi="Arial" w:cs="Arial"/>
          <w:color w:val="202124"/>
          <w:shd w:val="clear" w:color="auto" w:fill="FFFFFF"/>
        </w:rPr>
        <w:t xml:space="preserve">As a liquid in </w:t>
      </w:r>
      <w:proofErr w:type="spellStart"/>
      <w:r w:rsidRPr="00DC4B0C">
        <w:rPr>
          <w:rFonts w:ascii="Arial" w:hAnsi="Arial" w:cs="Arial"/>
          <w:color w:val="202124"/>
          <w:shd w:val="clear" w:color="auto" w:fill="FFFFFF"/>
        </w:rPr>
        <w:t>dewars</w:t>
      </w:r>
      <w:proofErr w:type="spellEnd"/>
      <w:r w:rsidRPr="00DC4B0C">
        <w:rPr>
          <w:rFonts w:ascii="Arial" w:hAnsi="Arial" w:cs="Arial"/>
          <w:color w:val="202124"/>
          <w:shd w:val="clear" w:color="auto" w:fill="FFFFFF"/>
        </w:rPr>
        <w:t xml:space="preserve"> or tanks (stored at -253°C). </w:t>
      </w:r>
    </w:p>
    <w:p w14:paraId="1C0B4215" w14:textId="7D8CE711" w:rsidR="00DC4B0C" w:rsidRDefault="00DC4B0C" w:rsidP="00DC4B0C">
      <w:pPr>
        <w:pStyle w:val="ListParagraph"/>
        <w:numPr>
          <w:ilvl w:val="0"/>
          <w:numId w:val="1"/>
        </w:numPr>
        <w:rPr>
          <w:rFonts w:ascii="Arial" w:hAnsi="Arial" w:cs="Arial"/>
          <w:color w:val="202124"/>
          <w:shd w:val="clear" w:color="auto" w:fill="FFFFFF"/>
        </w:rPr>
      </w:pPr>
      <w:r w:rsidRPr="00DC4B0C">
        <w:rPr>
          <w:rFonts w:ascii="Arial" w:hAnsi="Arial" w:cs="Arial"/>
          <w:color w:val="202124"/>
          <w:shd w:val="clear" w:color="auto" w:fill="FFFFFF"/>
        </w:rPr>
        <w:t>As a solid by either absorbing or reacting with metals or chemical compounds or storing in an alternative chemical form.</w:t>
      </w:r>
    </w:p>
    <w:p w14:paraId="21897EF3" w14:textId="03D35053" w:rsidR="006A5A2A" w:rsidRDefault="006A5A2A" w:rsidP="006A5A2A">
      <w:pPr>
        <w:rPr>
          <w:rFonts w:ascii="Arial" w:hAnsi="Arial" w:cs="Arial"/>
          <w:color w:val="202124"/>
          <w:shd w:val="clear" w:color="auto" w:fill="FFFFFF"/>
        </w:rPr>
      </w:pPr>
    </w:p>
    <w:p w14:paraId="5CBD2098" w14:textId="5E985A02" w:rsidR="006A5A2A" w:rsidRDefault="006A5A2A" w:rsidP="006A5A2A">
      <w:pPr>
        <w:rPr>
          <w:rFonts w:ascii="Arial" w:hAnsi="Arial" w:cs="Arial"/>
          <w:color w:val="202124"/>
          <w:shd w:val="clear" w:color="auto" w:fill="FFFFFF"/>
        </w:rPr>
      </w:pPr>
    </w:p>
    <w:p w14:paraId="15C1E30F" w14:textId="4A30723E" w:rsidR="006A5A2A" w:rsidRDefault="006A5A2A" w:rsidP="006A5A2A">
      <w:pPr>
        <w:rPr>
          <w:rFonts w:ascii="Arial" w:hAnsi="Arial" w:cs="Arial"/>
          <w:color w:val="202124"/>
          <w:shd w:val="clear" w:color="auto" w:fill="FFFFFF"/>
        </w:rPr>
      </w:pPr>
    </w:p>
    <w:p w14:paraId="3F9B8C6A" w14:textId="4D669AD2" w:rsidR="006A5A2A" w:rsidRDefault="006A5A2A" w:rsidP="006A5A2A">
      <w:pPr>
        <w:rPr>
          <w:rFonts w:ascii="Arial" w:hAnsi="Arial" w:cs="Arial"/>
          <w:color w:val="202124"/>
          <w:shd w:val="clear" w:color="auto" w:fill="FFFFFF"/>
        </w:rPr>
      </w:pPr>
    </w:p>
    <w:p w14:paraId="744E3BBC" w14:textId="78568624" w:rsidR="006A5A2A" w:rsidRDefault="006A5A2A" w:rsidP="006A5A2A">
      <w:pPr>
        <w:rPr>
          <w:rFonts w:ascii="Arial" w:hAnsi="Arial" w:cs="Arial"/>
          <w:color w:val="202124"/>
          <w:shd w:val="clear" w:color="auto" w:fill="FFFFFF"/>
        </w:rPr>
      </w:pPr>
    </w:p>
    <w:p w14:paraId="2A65142E" w14:textId="02C4015B" w:rsidR="006A5A2A" w:rsidRDefault="006A5A2A" w:rsidP="006A5A2A">
      <w:pPr>
        <w:rPr>
          <w:rFonts w:ascii="Arial" w:hAnsi="Arial" w:cs="Arial"/>
          <w:color w:val="202124"/>
          <w:shd w:val="clear" w:color="auto" w:fill="FFFFFF"/>
        </w:rPr>
      </w:pPr>
    </w:p>
    <w:p w14:paraId="3474AEF7" w14:textId="7B690854" w:rsidR="006A5A2A" w:rsidRDefault="006A5A2A" w:rsidP="006A5A2A">
      <w:pPr>
        <w:rPr>
          <w:rFonts w:ascii="Arial" w:hAnsi="Arial" w:cs="Arial"/>
          <w:color w:val="202124"/>
          <w:shd w:val="clear" w:color="auto" w:fill="FFFFFF"/>
        </w:rPr>
      </w:pPr>
    </w:p>
    <w:p w14:paraId="0771841E" w14:textId="28E62148" w:rsidR="006A5A2A" w:rsidRDefault="006A5A2A" w:rsidP="006A5A2A">
      <w:pPr>
        <w:rPr>
          <w:rFonts w:ascii="Arial" w:hAnsi="Arial" w:cs="Arial"/>
          <w:color w:val="202124"/>
          <w:shd w:val="clear" w:color="auto" w:fill="FFFFFF"/>
        </w:rPr>
      </w:pPr>
    </w:p>
    <w:p w14:paraId="1F978B58" w14:textId="13C96DB0" w:rsidR="006A5A2A" w:rsidRDefault="006A5A2A" w:rsidP="006A5A2A">
      <w:pPr>
        <w:rPr>
          <w:rFonts w:ascii="Arial" w:hAnsi="Arial" w:cs="Arial"/>
          <w:color w:val="202124"/>
          <w:shd w:val="clear" w:color="auto" w:fill="FFFFFF"/>
        </w:rPr>
      </w:pPr>
    </w:p>
    <w:p w14:paraId="3181ADB0" w14:textId="56F10DFB" w:rsidR="006A5A2A" w:rsidRDefault="006A5A2A" w:rsidP="006A5A2A">
      <w:pPr>
        <w:rPr>
          <w:rFonts w:ascii="Arial" w:hAnsi="Arial" w:cs="Arial"/>
          <w:color w:val="202124"/>
          <w:shd w:val="clear" w:color="auto" w:fill="FFFFFF"/>
        </w:rPr>
      </w:pPr>
    </w:p>
    <w:p w14:paraId="78B2363D" w14:textId="67D7BD1E" w:rsidR="006A5A2A" w:rsidRDefault="006A5A2A" w:rsidP="006A5A2A">
      <w:pPr>
        <w:rPr>
          <w:rFonts w:ascii="Arial" w:hAnsi="Arial" w:cs="Arial"/>
          <w:color w:val="202124"/>
          <w:shd w:val="clear" w:color="auto" w:fill="FFFFFF"/>
        </w:rPr>
      </w:pPr>
    </w:p>
    <w:p w14:paraId="5A7F0495" w14:textId="55DFBC6B" w:rsidR="006A5A2A" w:rsidRDefault="006A5A2A" w:rsidP="006A5A2A">
      <w:pPr>
        <w:rPr>
          <w:rFonts w:ascii="Arial" w:hAnsi="Arial" w:cs="Arial"/>
          <w:color w:val="202124"/>
          <w:shd w:val="clear" w:color="auto" w:fill="FFFFFF"/>
        </w:rPr>
      </w:pPr>
    </w:p>
    <w:p w14:paraId="3F2424A1" w14:textId="689E063C" w:rsidR="006A5A2A" w:rsidRDefault="006A5A2A" w:rsidP="006A5A2A">
      <w:pPr>
        <w:rPr>
          <w:rFonts w:ascii="Arial" w:hAnsi="Arial" w:cs="Arial"/>
          <w:color w:val="202124"/>
          <w:shd w:val="clear" w:color="auto" w:fill="FFFFFF"/>
        </w:rPr>
      </w:pPr>
    </w:p>
    <w:p w14:paraId="11622329" w14:textId="3553555E" w:rsidR="006A5A2A" w:rsidRDefault="006A5A2A" w:rsidP="006A5A2A">
      <w:pPr>
        <w:rPr>
          <w:rFonts w:ascii="Arial" w:hAnsi="Arial" w:cs="Arial"/>
          <w:color w:val="202124"/>
          <w:shd w:val="clear" w:color="auto" w:fill="FFFFFF"/>
        </w:rPr>
      </w:pPr>
      <w:r>
        <w:rPr>
          <w:noProof/>
        </w:rPr>
        <w:drawing>
          <wp:inline distT="0" distB="0" distL="0" distR="0" wp14:anchorId="59E34135" wp14:editId="462B9D67">
            <wp:extent cx="5725379" cy="45068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12570" b="23821"/>
                    <a:stretch/>
                  </pic:blipFill>
                  <pic:spPr bwMode="auto">
                    <a:xfrm>
                      <a:off x="0" y="0"/>
                      <a:ext cx="5731510" cy="451168"/>
                    </a:xfrm>
                    <a:prstGeom prst="rect">
                      <a:avLst/>
                    </a:prstGeom>
                    <a:ln>
                      <a:noFill/>
                    </a:ln>
                    <a:extLst>
                      <a:ext uri="{53640926-AAD7-44D8-BBD7-CCE9431645EC}">
                        <a14:shadowObscured xmlns:a14="http://schemas.microsoft.com/office/drawing/2010/main"/>
                      </a:ext>
                    </a:extLst>
                  </pic:spPr>
                </pic:pic>
              </a:graphicData>
            </a:graphic>
          </wp:inline>
        </w:drawing>
      </w:r>
      <w:r w:rsidRPr="005B6D46">
        <w:rPr>
          <w:rFonts w:ascii="Arial" w:hAnsi="Arial" w:cs="Arial"/>
          <w:color w:val="202124"/>
          <w:shd w:val="clear" w:color="auto" w:fill="FFFFFF"/>
        </w:rPr>
        <w:t xml:space="preserve">The PSO levy is a subsidy charged to all electricity customers in Ireland by the </w:t>
      </w:r>
      <w:r w:rsidR="005B6D46" w:rsidRPr="005B6D46">
        <w:rPr>
          <w:rFonts w:ascii="Arial" w:hAnsi="Arial" w:cs="Arial"/>
          <w:color w:val="202124"/>
          <w:shd w:val="clear" w:color="auto" w:fill="FFFFFF"/>
        </w:rPr>
        <w:t xml:space="preserve">Fianna </w:t>
      </w:r>
      <w:proofErr w:type="spellStart"/>
      <w:r w:rsidR="005B6D46" w:rsidRPr="005B6D46">
        <w:rPr>
          <w:rFonts w:ascii="Arial" w:hAnsi="Arial" w:cs="Arial"/>
          <w:color w:val="202124"/>
          <w:shd w:val="clear" w:color="auto" w:fill="FFFFFF"/>
        </w:rPr>
        <w:t>Fáil</w:t>
      </w:r>
      <w:proofErr w:type="spellEnd"/>
      <w:r w:rsidR="005B6D46" w:rsidRPr="005B6D46">
        <w:rPr>
          <w:rFonts w:ascii="Arial" w:hAnsi="Arial" w:cs="Arial"/>
          <w:color w:val="202124"/>
          <w:shd w:val="clear" w:color="auto" w:fill="FFFFFF"/>
        </w:rPr>
        <w:t xml:space="preserve">, </w:t>
      </w:r>
      <w:r w:rsidR="005B6D46">
        <w:rPr>
          <w:rFonts w:ascii="Arial" w:hAnsi="Arial" w:cs="Arial"/>
          <w:color w:val="202124"/>
          <w:shd w:val="clear" w:color="auto" w:fill="FFFFFF"/>
        </w:rPr>
        <w:t xml:space="preserve">(Irish government) </w:t>
      </w:r>
      <w:r w:rsidRPr="005B6D46">
        <w:rPr>
          <w:rFonts w:ascii="Arial" w:hAnsi="Arial" w:cs="Arial"/>
          <w:color w:val="202124"/>
          <w:shd w:val="clear" w:color="auto" w:fill="FFFFFF"/>
        </w:rPr>
        <w:t>to support its national policy</w:t>
      </w:r>
      <w:r w:rsidR="005B6D46" w:rsidRPr="005B6D46">
        <w:rPr>
          <w:rFonts w:ascii="Arial" w:hAnsi="Arial" w:cs="Arial"/>
          <w:color w:val="202124"/>
          <w:shd w:val="clear" w:color="auto" w:fill="FFFFFF"/>
        </w:rPr>
        <w:t>, investment in renewable electricity and indigenous sources of energy</w:t>
      </w:r>
      <w:r w:rsidRPr="005B6D46">
        <w:rPr>
          <w:rFonts w:ascii="Arial" w:hAnsi="Arial" w:cs="Arial"/>
          <w:color w:val="202124"/>
          <w:shd w:val="clear" w:color="auto" w:fill="FFFFFF"/>
        </w:rPr>
        <w:t xml:space="preserve"> </w:t>
      </w:r>
      <w:r w:rsidR="00E02059" w:rsidRPr="005B6D46">
        <w:rPr>
          <w:rFonts w:ascii="Arial" w:hAnsi="Arial" w:cs="Arial"/>
          <w:color w:val="202124"/>
          <w:shd w:val="clear" w:color="auto" w:fill="FFFFFF"/>
        </w:rPr>
        <w:t xml:space="preserve">like peat </w:t>
      </w:r>
      <w:r w:rsidRPr="005B6D46">
        <w:rPr>
          <w:rFonts w:ascii="Arial" w:hAnsi="Arial" w:cs="Arial"/>
          <w:color w:val="202124"/>
          <w:shd w:val="clear" w:color="auto" w:fill="FFFFFF"/>
        </w:rPr>
        <w:t>and security of supply</w:t>
      </w:r>
      <w:r w:rsidR="005B6D46">
        <w:rPr>
          <w:rFonts w:ascii="Arial" w:hAnsi="Arial" w:cs="Arial"/>
          <w:color w:val="202124"/>
          <w:shd w:val="clear" w:color="auto" w:fill="FFFFFF"/>
        </w:rPr>
        <w:t xml:space="preserve"> and all subsequent governments have maintained the policy and the charge.</w:t>
      </w:r>
    </w:p>
    <w:p w14:paraId="14F49301" w14:textId="0258E1FA" w:rsidR="00EF5AF7" w:rsidRDefault="00EF5AF7" w:rsidP="006A5A2A">
      <w:pPr>
        <w:rPr>
          <w:rFonts w:ascii="Arial" w:hAnsi="Arial" w:cs="Arial"/>
          <w:color w:val="202124"/>
          <w:shd w:val="clear" w:color="auto" w:fill="FFFFFF"/>
        </w:rPr>
      </w:pPr>
      <w:r>
        <w:rPr>
          <w:rFonts w:ascii="Arial" w:hAnsi="Arial" w:cs="Arial"/>
          <w:color w:val="202124"/>
          <w:shd w:val="clear" w:color="auto" w:fill="FFFFFF"/>
        </w:rPr>
        <w:t>PSO levy are calculated </w:t>
      </w:r>
      <w:proofErr w:type="gramStart"/>
      <w:r w:rsidRPr="00EF5AF7">
        <w:rPr>
          <w:rFonts w:ascii="Arial" w:hAnsi="Arial" w:cs="Arial"/>
          <w:color w:val="202124"/>
          <w:shd w:val="clear" w:color="auto" w:fill="FFFFFF"/>
        </w:rPr>
        <w:t>on the basis of</w:t>
      </w:r>
      <w:proofErr w:type="gramEnd"/>
      <w:r w:rsidRPr="00EF5AF7">
        <w:rPr>
          <w:rFonts w:ascii="Arial" w:hAnsi="Arial" w:cs="Arial"/>
          <w:color w:val="202124"/>
          <w:shd w:val="clear" w:color="auto" w:fill="FFFFFF"/>
        </w:rPr>
        <w:t xml:space="preserve"> the estimated generation required and the estimated wholesale electricity market prices for the year ahead</w:t>
      </w:r>
      <w:r>
        <w:rPr>
          <w:rFonts w:ascii="Arial" w:hAnsi="Arial" w:cs="Arial"/>
          <w:color w:val="202124"/>
          <w:shd w:val="clear" w:color="auto" w:fill="FFFFFF"/>
        </w:rPr>
        <w:t>.</w:t>
      </w:r>
    </w:p>
    <w:p w14:paraId="3FCB62DF" w14:textId="6D0D2E5C" w:rsidR="006D519C" w:rsidRDefault="00EF5AF7" w:rsidP="00326D49">
      <w:pPr>
        <w:rPr>
          <w:rFonts w:ascii="Arial" w:hAnsi="Arial" w:cs="Arial"/>
          <w:color w:val="202124"/>
          <w:shd w:val="clear" w:color="auto" w:fill="FFFFFF"/>
        </w:rPr>
      </w:pPr>
      <w:r>
        <w:rPr>
          <w:noProof/>
        </w:rPr>
        <w:drawing>
          <wp:inline distT="0" distB="0" distL="0" distR="0" wp14:anchorId="2A1E4481" wp14:editId="5BE81386">
            <wp:extent cx="5729615" cy="789388"/>
            <wp:effectExtent l="0" t="0" r="444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7"/>
                    <a:srcRect t="17910" b="5280"/>
                    <a:stretch/>
                  </pic:blipFill>
                  <pic:spPr bwMode="auto">
                    <a:xfrm>
                      <a:off x="0" y="0"/>
                      <a:ext cx="5731510" cy="789649"/>
                    </a:xfrm>
                    <a:prstGeom prst="rect">
                      <a:avLst/>
                    </a:prstGeom>
                    <a:ln>
                      <a:noFill/>
                    </a:ln>
                    <a:extLst>
                      <a:ext uri="{53640926-AAD7-44D8-BBD7-CCE9431645EC}">
                        <a14:shadowObscured xmlns:a14="http://schemas.microsoft.com/office/drawing/2010/main"/>
                      </a:ext>
                    </a:extLst>
                  </pic:spPr>
                </pic:pic>
              </a:graphicData>
            </a:graphic>
          </wp:inline>
        </w:drawing>
      </w:r>
      <w:r w:rsidR="006D519C">
        <w:rPr>
          <w:rFonts w:ascii="Arial" w:hAnsi="Arial" w:cs="Arial"/>
          <w:color w:val="202124"/>
          <w:shd w:val="clear" w:color="auto" w:fill="FFFFFF"/>
        </w:rPr>
        <w:t>A large rate of change of frequency (</w:t>
      </w:r>
      <w:proofErr w:type="spellStart"/>
      <w:r w:rsidR="006D519C">
        <w:rPr>
          <w:rFonts w:ascii="Arial" w:hAnsi="Arial" w:cs="Arial"/>
          <w:color w:val="202124"/>
          <w:shd w:val="clear" w:color="auto" w:fill="FFFFFF"/>
        </w:rPr>
        <w:t>RoCoF</w:t>
      </w:r>
      <w:proofErr w:type="spellEnd"/>
      <w:r w:rsidR="006D519C">
        <w:rPr>
          <w:rFonts w:ascii="Arial" w:hAnsi="Arial" w:cs="Arial"/>
          <w:color w:val="202124"/>
          <w:shd w:val="clear" w:color="auto" w:fill="FFFFFF"/>
        </w:rPr>
        <w:t>) may occur </w:t>
      </w:r>
      <w:r w:rsidR="006D519C" w:rsidRPr="00B43466">
        <w:rPr>
          <w:rFonts w:ascii="Arial" w:hAnsi="Arial" w:cs="Arial"/>
          <w:color w:val="202124"/>
          <w:shd w:val="clear" w:color="auto" w:fill="FFFFFF"/>
        </w:rPr>
        <w:t>after a severe system incident</w:t>
      </w:r>
      <w:r w:rsidR="006D519C">
        <w:rPr>
          <w:rFonts w:ascii="Arial" w:hAnsi="Arial" w:cs="Arial"/>
          <w:color w:val="202124"/>
          <w:shd w:val="clear" w:color="auto" w:fill="FFFFFF"/>
        </w:rPr>
        <w:t> (</w:t>
      </w:r>
      <w:proofErr w:type="gramStart"/>
      <w:r w:rsidR="006D519C">
        <w:rPr>
          <w:rFonts w:ascii="Arial" w:hAnsi="Arial" w:cs="Arial"/>
          <w:color w:val="202124"/>
          <w:shd w:val="clear" w:color="auto" w:fill="FFFFFF"/>
        </w:rPr>
        <w:t>e.g.</w:t>
      </w:r>
      <w:proofErr w:type="gramEnd"/>
      <w:r w:rsidR="006D519C">
        <w:rPr>
          <w:rFonts w:ascii="Arial" w:hAnsi="Arial" w:cs="Arial"/>
          <w:color w:val="202124"/>
          <w:shd w:val="clear" w:color="auto" w:fill="FFFFFF"/>
        </w:rPr>
        <w:t xml:space="preserve"> system split or loss of large generator in a smaller system). The facilities shall remain connected to contribute to stabilize and restore the network to normal operating states.</w:t>
      </w:r>
    </w:p>
    <w:p w14:paraId="42327131" w14:textId="447A529D" w:rsidR="006D519C" w:rsidRDefault="006D519C" w:rsidP="006D519C">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ROCOF protection is based on the idea that </w:t>
      </w:r>
      <w:r w:rsidRPr="00B43466">
        <w:rPr>
          <w:rFonts w:ascii="Arial" w:hAnsi="Arial" w:cs="Arial"/>
          <w:color w:val="202124"/>
          <w:shd w:val="clear" w:color="auto" w:fill="FFFFFF"/>
        </w:rPr>
        <w:t>if a local generator is suddenly disconnected from the grid, provided that the power flow to or from the grid at that time is not the zero</w:t>
      </w:r>
      <w:r>
        <w:rPr>
          <w:rFonts w:ascii="Arial" w:hAnsi="Arial" w:cs="Arial"/>
          <w:color w:val="202124"/>
          <w:shd w:val="clear" w:color="auto" w:fill="FFFFFF"/>
        </w:rPr>
        <w:t>, frequency of the supply that the generator is producing will change.</w:t>
      </w:r>
    </w:p>
    <w:p w14:paraId="20002FB2" w14:textId="77777777" w:rsidR="006D519C" w:rsidRDefault="006D519C" w:rsidP="006D519C">
      <w:pPr>
        <w:shd w:val="clear" w:color="auto" w:fill="FFFFFF"/>
        <w:spacing w:after="0" w:line="240" w:lineRule="auto"/>
        <w:rPr>
          <w:rFonts w:ascii="Arial" w:hAnsi="Arial" w:cs="Arial"/>
          <w:color w:val="202124"/>
          <w:shd w:val="clear" w:color="auto" w:fill="FFFFFF"/>
        </w:rPr>
      </w:pPr>
    </w:p>
    <w:p w14:paraId="717D7050" w14:textId="07721CE6" w:rsidR="006D519C" w:rsidRPr="00B43466" w:rsidRDefault="006D519C" w:rsidP="006D519C">
      <w:pPr>
        <w:shd w:val="clear" w:color="auto" w:fill="FFFFFF"/>
        <w:spacing w:after="0" w:line="240" w:lineRule="auto"/>
        <w:rPr>
          <w:rFonts w:ascii="Arial" w:hAnsi="Arial" w:cs="Arial"/>
          <w:color w:val="202124"/>
          <w:shd w:val="clear" w:color="auto" w:fill="FFFFFF"/>
        </w:rPr>
      </w:pPr>
      <w:r w:rsidRPr="00B43466">
        <w:rPr>
          <w:rFonts w:ascii="Arial" w:hAnsi="Arial" w:cs="Arial"/>
          <w:color w:val="202124"/>
          <w:shd w:val="clear" w:color="auto" w:fill="FFFFFF"/>
        </w:rPr>
        <w:t>potentially costly damage to the generator.</w:t>
      </w:r>
    </w:p>
    <w:p w14:paraId="63CAD51B" w14:textId="347D07BB" w:rsidR="00B43466" w:rsidRDefault="00B43466" w:rsidP="00C03592">
      <w:pPr>
        <w:rPr>
          <w:rFonts w:ascii="Arial" w:hAnsi="Arial" w:cs="Arial"/>
          <w:color w:val="202124"/>
          <w:shd w:val="clear" w:color="auto" w:fill="FFFFFF"/>
        </w:rPr>
      </w:pPr>
    </w:p>
    <w:p w14:paraId="0FCED092" w14:textId="66A40902" w:rsidR="000D7DFF" w:rsidRDefault="000D7DFF" w:rsidP="00973AAE">
      <w:pPr>
        <w:jc w:val="center"/>
        <w:rPr>
          <w:rFonts w:ascii="Arial" w:hAnsi="Arial" w:cs="Arial"/>
          <w:color w:val="202124"/>
          <w:shd w:val="clear" w:color="auto" w:fill="FFFFFF"/>
        </w:rPr>
      </w:pPr>
      <w:r>
        <w:rPr>
          <w:noProof/>
        </w:rPr>
        <w:drawing>
          <wp:inline distT="0" distB="0" distL="0" distR="0" wp14:anchorId="577EC85B" wp14:editId="696223D3">
            <wp:extent cx="5731510" cy="486889"/>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757" b="10584"/>
                    <a:stretch/>
                  </pic:blipFill>
                  <pic:spPr bwMode="auto">
                    <a:xfrm>
                      <a:off x="0" y="0"/>
                      <a:ext cx="5731510" cy="486889"/>
                    </a:xfrm>
                    <a:prstGeom prst="rect">
                      <a:avLst/>
                    </a:prstGeom>
                    <a:ln>
                      <a:noFill/>
                    </a:ln>
                    <a:extLst>
                      <a:ext uri="{53640926-AAD7-44D8-BBD7-CCE9431645EC}">
                        <a14:shadowObscured xmlns:a14="http://schemas.microsoft.com/office/drawing/2010/main"/>
                      </a:ext>
                    </a:extLst>
                  </pic:spPr>
                </pic:pic>
              </a:graphicData>
            </a:graphic>
          </wp:inline>
        </w:drawing>
      </w:r>
      <w:r w:rsidRPr="000D7DFF">
        <w:rPr>
          <w:rFonts w:ascii="Arial" w:hAnsi="Arial" w:cs="Arial"/>
          <w:color w:val="202124"/>
          <w:shd w:val="clear" w:color="auto" w:fill="FFFFFF"/>
        </w:rPr>
        <w:t xml:space="preserve">The Renewable Electricity Support Scheme (RESS) provides support to renewable electricity projects in Ireland. </w:t>
      </w:r>
      <w:r>
        <w:rPr>
          <w:rFonts w:ascii="Arial" w:hAnsi="Arial" w:cs="Arial"/>
          <w:color w:val="202124"/>
          <w:shd w:val="clear" w:color="auto" w:fill="FFFFFF"/>
        </w:rPr>
        <w:t>It is a</w:t>
      </w:r>
      <w:r w:rsidRPr="000D7DFF">
        <w:rPr>
          <w:rFonts w:ascii="Arial" w:hAnsi="Arial" w:cs="Arial"/>
          <w:color w:val="202124"/>
          <w:shd w:val="clear" w:color="auto" w:fill="FFFFFF"/>
        </w:rPr>
        <w:t xml:space="preserve"> scheme that invites renewable energy projects to bid for capacity with a guaranteed price </w:t>
      </w:r>
      <w:proofErr w:type="gramStart"/>
      <w:r w:rsidRPr="000D7DFF">
        <w:rPr>
          <w:rFonts w:ascii="Arial" w:hAnsi="Arial" w:cs="Arial"/>
          <w:color w:val="202124"/>
          <w:shd w:val="clear" w:color="auto" w:fill="FFFFFF"/>
        </w:rPr>
        <w:t>for the amount of</w:t>
      </w:r>
      <w:proofErr w:type="gramEnd"/>
      <w:r w:rsidRPr="000D7DFF">
        <w:rPr>
          <w:rFonts w:ascii="Arial" w:hAnsi="Arial" w:cs="Arial"/>
          <w:color w:val="202124"/>
          <w:shd w:val="clear" w:color="auto" w:fill="FFFFFF"/>
        </w:rPr>
        <w:t xml:space="preserve"> power generated for a maximum of 16 years. It will operate for a five-year period to 2025, with extension</w:t>
      </w:r>
      <w:r w:rsidR="005C0839">
        <w:rPr>
          <w:rFonts w:ascii="Arial" w:hAnsi="Arial" w:cs="Arial"/>
          <w:color w:val="202124"/>
          <w:shd w:val="clear" w:color="auto" w:fill="FFFFFF"/>
        </w:rPr>
        <w:t xml:space="preserve"> </w:t>
      </w:r>
      <w:r w:rsidRPr="000D7DFF">
        <w:rPr>
          <w:rFonts w:ascii="Arial" w:hAnsi="Arial" w:cs="Arial"/>
          <w:color w:val="202124"/>
          <w:shd w:val="clear" w:color="auto" w:fill="FFFFFF"/>
        </w:rPr>
        <w:t>subject to evaluation.</w:t>
      </w:r>
    </w:p>
    <w:p w14:paraId="6E1C52EA" w14:textId="2642AAED" w:rsidR="00F9464B" w:rsidRDefault="00F9464B" w:rsidP="000D7DFF">
      <w:r>
        <w:rPr>
          <w:noProof/>
        </w:rPr>
        <w:drawing>
          <wp:inline distT="0" distB="0" distL="0" distR="0" wp14:anchorId="74FDEAA2" wp14:editId="27E4090F">
            <wp:extent cx="5731510" cy="64770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t="15257" b="14008"/>
                    <a:stretch/>
                  </pic:blipFill>
                  <pic:spPr bwMode="auto">
                    <a:xfrm>
                      <a:off x="0" y="0"/>
                      <a:ext cx="5731510" cy="647700"/>
                    </a:xfrm>
                    <a:prstGeom prst="rect">
                      <a:avLst/>
                    </a:prstGeom>
                    <a:ln>
                      <a:noFill/>
                    </a:ln>
                    <a:extLst>
                      <a:ext uri="{53640926-AAD7-44D8-BBD7-CCE9431645EC}">
                        <a14:shadowObscured xmlns:a14="http://schemas.microsoft.com/office/drawing/2010/main"/>
                      </a:ext>
                    </a:extLst>
                  </pic:spPr>
                </pic:pic>
              </a:graphicData>
            </a:graphic>
          </wp:inline>
        </w:drawing>
      </w:r>
      <w:r>
        <w:t>The economic analysis to underpin the new RESS identified that around twice as much new RES-E capacity is needed to meet the 50% RES-E scenario compared to maintaining the 40% baseline RES-E scenario, and more than two and a half times more capacity is needed than in the baseline to meet the 55% RES-E scenario.</w:t>
      </w:r>
    </w:p>
    <w:p w14:paraId="03773BDB" w14:textId="77777777" w:rsidR="00CC3E76" w:rsidRDefault="00CC3E76" w:rsidP="000D7DFF">
      <w:r>
        <w:t xml:space="preserve">This is due to two main factors: </w:t>
      </w:r>
    </w:p>
    <w:p w14:paraId="1E01B2F6" w14:textId="103FF96F" w:rsidR="00CC3E76" w:rsidRDefault="00CC3E76" w:rsidP="00973AAE">
      <w:pPr>
        <w:spacing w:after="0"/>
      </w:pPr>
      <w:r>
        <w:t>Firstly, while the total amount of RES-E generation needed to meet the 55% scenario is only 15% higher than that needed to maintain the 40% baseline scenario, all this additional RESE generation needs to be met by new installed capacity.</w:t>
      </w:r>
    </w:p>
    <w:p w14:paraId="0150C5A2" w14:textId="57DD4D56" w:rsidR="00CC3E76" w:rsidRDefault="00CC3E76" w:rsidP="00973AAE">
      <w:pPr>
        <w:spacing w:after="0"/>
      </w:pPr>
      <w:r>
        <w:t>Secondly, load factors for the technologies in the RES-E mix tend to decline as more RES-E generation (including different technologies) is added to meet the higher targets.</w:t>
      </w:r>
    </w:p>
    <w:p w14:paraId="3AFE673E" w14:textId="5D9D0D1E" w:rsidR="00F638A2" w:rsidRDefault="00F638A2" w:rsidP="000D7DFF">
      <w:pPr>
        <w:rPr>
          <w:rFonts w:ascii="Arial" w:hAnsi="Arial" w:cs="Arial"/>
          <w:color w:val="202124"/>
          <w:shd w:val="clear" w:color="auto" w:fill="FFFFFF"/>
        </w:rPr>
      </w:pPr>
    </w:p>
    <w:p w14:paraId="738B982C" w14:textId="4AFA6F3A" w:rsidR="00973AAE" w:rsidRDefault="00797503" w:rsidP="000D7DFF">
      <w:pPr>
        <w:rPr>
          <w:rFonts w:ascii="Arial" w:hAnsi="Arial" w:cs="Arial"/>
          <w:color w:val="202124"/>
          <w:shd w:val="clear" w:color="auto" w:fill="FFFFFF"/>
        </w:rPr>
      </w:pPr>
      <w:r>
        <w:rPr>
          <w:noProof/>
        </w:rPr>
        <w:lastRenderedPageBreak/>
        <w:drawing>
          <wp:inline distT="0" distB="0" distL="0" distR="0" wp14:anchorId="0489D466" wp14:editId="610CB9D6">
            <wp:extent cx="5731510" cy="864870"/>
            <wp:effectExtent l="0" t="0" r="254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0"/>
                    <a:stretch>
                      <a:fillRect/>
                    </a:stretch>
                  </pic:blipFill>
                  <pic:spPr>
                    <a:xfrm>
                      <a:off x="0" y="0"/>
                      <a:ext cx="5731510" cy="864870"/>
                    </a:xfrm>
                    <a:prstGeom prst="rect">
                      <a:avLst/>
                    </a:prstGeom>
                  </pic:spPr>
                </pic:pic>
              </a:graphicData>
            </a:graphic>
          </wp:inline>
        </w:drawing>
      </w:r>
    </w:p>
    <w:p w14:paraId="0710B028" w14:textId="606E41E7" w:rsidR="00973AAE" w:rsidRDefault="00797503" w:rsidP="000D7DFF">
      <w:pPr>
        <w:rPr>
          <w:rFonts w:ascii="Arial" w:hAnsi="Arial" w:cs="Arial"/>
          <w:color w:val="202124"/>
          <w:shd w:val="clear" w:color="auto" w:fill="FFFFFF"/>
        </w:rPr>
      </w:pPr>
      <w:r w:rsidRPr="00797503">
        <w:rPr>
          <w:rFonts w:ascii="Arial" w:hAnsi="Arial" w:cs="Arial"/>
          <w:color w:val="202124"/>
          <w:shd w:val="clear" w:color="auto" w:fill="FFFFFF"/>
        </w:rPr>
        <w:t>LNG is the primary energy</w:t>
      </w:r>
      <w:r>
        <w:rPr>
          <w:rFonts w:ascii="Arial" w:hAnsi="Arial" w:cs="Arial"/>
          <w:color w:val="202124"/>
          <w:shd w:val="clear" w:color="auto" w:fill="FFFFFF"/>
        </w:rPr>
        <w:t xml:space="preserve">, </w:t>
      </w:r>
      <w:r w:rsidRPr="00797503">
        <w:rPr>
          <w:rFonts w:ascii="Arial" w:hAnsi="Arial" w:cs="Arial"/>
          <w:color w:val="202124"/>
          <w:shd w:val="clear" w:color="auto" w:fill="FFFFFF"/>
        </w:rPr>
        <w:t>offer</w:t>
      </w:r>
      <w:r>
        <w:rPr>
          <w:rFonts w:ascii="Arial" w:hAnsi="Arial" w:cs="Arial"/>
          <w:color w:val="202124"/>
          <w:shd w:val="clear" w:color="auto" w:fill="FFFFFF"/>
        </w:rPr>
        <w:t>s</w:t>
      </w:r>
      <w:r w:rsidRPr="00797503">
        <w:rPr>
          <w:rFonts w:ascii="Arial" w:hAnsi="Arial" w:cs="Arial"/>
          <w:color w:val="202124"/>
          <w:shd w:val="clear" w:color="auto" w:fill="FFFFFF"/>
        </w:rPr>
        <w:t xml:space="preserve"> the best thermodynamic yields and the best energy efficiency. </w:t>
      </w:r>
      <w:r>
        <w:rPr>
          <w:rFonts w:ascii="Arial" w:hAnsi="Arial" w:cs="Arial"/>
          <w:color w:val="202124"/>
          <w:shd w:val="clear" w:color="auto" w:fill="FFFFFF"/>
        </w:rPr>
        <w:t>T</w:t>
      </w:r>
      <w:r w:rsidRPr="00797503">
        <w:rPr>
          <w:rFonts w:ascii="Arial" w:hAnsi="Arial" w:cs="Arial"/>
          <w:color w:val="202124"/>
          <w:shd w:val="clear" w:color="auto" w:fill="FFFFFF"/>
        </w:rPr>
        <w:t>he cost of LNG is considerably more competitive than that of other low-sulphur fuels, such as MGO (Marine Gas Oil).</w:t>
      </w:r>
      <w:r>
        <w:rPr>
          <w:rFonts w:ascii="Arial" w:hAnsi="Arial" w:cs="Arial"/>
          <w:color w:val="202124"/>
          <w:shd w:val="clear" w:color="auto" w:fill="FFFFFF"/>
        </w:rPr>
        <w:t xml:space="preserve"> </w:t>
      </w:r>
      <w:r w:rsidRPr="00797503">
        <w:rPr>
          <w:rFonts w:ascii="Arial" w:hAnsi="Arial" w:cs="Arial"/>
          <w:color w:val="202124"/>
          <w:shd w:val="clear" w:color="auto" w:fill="FFFFFF"/>
        </w:rPr>
        <w:t>LNG will command an increasing share of the global fuel mix given its lower-carbon footprint and its ability to flexibly supply increasingly diverse markets, customers, and applications - ranging from power generation to marine and land transportation.</w:t>
      </w:r>
    </w:p>
    <w:p w14:paraId="00E31A4E" w14:textId="67790368" w:rsidR="00797503" w:rsidRDefault="00797503" w:rsidP="000D7DFF">
      <w:pPr>
        <w:rPr>
          <w:rFonts w:ascii="Arial" w:hAnsi="Arial" w:cs="Arial"/>
          <w:color w:val="202124"/>
          <w:shd w:val="clear" w:color="auto" w:fill="FFFFFF"/>
        </w:rPr>
      </w:pPr>
      <w:r w:rsidRPr="00797503">
        <w:rPr>
          <w:rFonts w:ascii="Arial" w:hAnsi="Arial" w:cs="Arial"/>
          <w:color w:val="202124"/>
          <w:shd w:val="clear" w:color="auto" w:fill="FFFFFF"/>
        </w:rPr>
        <w:t>LNG demand to rise 25-50% by 2030, fastest growing hydrocarbon</w:t>
      </w:r>
      <w:r w:rsidR="00DE12A6">
        <w:rPr>
          <w:rFonts w:ascii="Arial" w:hAnsi="Arial" w:cs="Arial"/>
          <w:color w:val="202124"/>
          <w:shd w:val="clear" w:color="auto" w:fill="FFFFFF"/>
        </w:rPr>
        <w:t xml:space="preserve">. </w:t>
      </w:r>
      <w:r w:rsidR="00DE12A6" w:rsidRPr="00DE12A6">
        <w:rPr>
          <w:rFonts w:ascii="Arial" w:hAnsi="Arial" w:cs="Arial"/>
          <w:color w:val="202124"/>
          <w:shd w:val="clear" w:color="auto" w:fill="FFFFFF"/>
        </w:rPr>
        <w:t>Demand for liquefied natural gas (LNG) is expected to rise by 25 to 50% by 2030, making it the fastest growing hydrocarbon over the next decade</w:t>
      </w:r>
      <w:r w:rsidR="00DE12A6">
        <w:rPr>
          <w:rFonts w:ascii="Arial" w:hAnsi="Arial" w:cs="Arial"/>
          <w:color w:val="202124"/>
          <w:shd w:val="clear" w:color="auto" w:fill="FFFFFF"/>
        </w:rPr>
        <w:t>.</w:t>
      </w:r>
    </w:p>
    <w:p w14:paraId="5EC33B98" w14:textId="44B4DC9E" w:rsidR="000962CC" w:rsidRDefault="000962CC" w:rsidP="000D7DFF">
      <w:pPr>
        <w:rPr>
          <w:noProof/>
        </w:rPr>
      </w:pPr>
    </w:p>
    <w:p w14:paraId="58FC899B" w14:textId="511DA984" w:rsidR="000962CC" w:rsidRPr="00FD0038" w:rsidRDefault="000962CC" w:rsidP="000962CC">
      <w:pPr>
        <w:shd w:val="clear" w:color="auto" w:fill="000000"/>
        <w:spacing w:after="0" w:line="240" w:lineRule="auto"/>
        <w:textAlignment w:val="baseline"/>
        <w:outlineLvl w:val="0"/>
        <w:rPr>
          <w:rFonts w:ascii="Arial" w:eastAsia="Times New Roman" w:hAnsi="Arial" w:cs="Arial"/>
          <w:b/>
          <w:bCs/>
          <w:color w:val="FFFFFF"/>
          <w:spacing w:val="-7"/>
          <w:kern w:val="36"/>
          <w:sz w:val="48"/>
          <w:szCs w:val="48"/>
          <w:lang w:eastAsia="en-IE"/>
        </w:rPr>
      </w:pPr>
      <w:r>
        <w:rPr>
          <w:rFonts w:ascii="Arial" w:eastAsia="Times New Roman" w:hAnsi="Arial" w:cs="Arial"/>
          <w:b/>
          <w:bCs/>
          <w:color w:val="FFFFFF"/>
          <w:spacing w:val="-7"/>
          <w:kern w:val="36"/>
          <w:sz w:val="48"/>
          <w:szCs w:val="48"/>
          <w:lang w:eastAsia="en-IE"/>
        </w:rPr>
        <w:t>I</w:t>
      </w:r>
      <w:r>
        <w:rPr>
          <w:rFonts w:ascii="Arial" w:eastAsia="Times New Roman" w:hAnsi="Arial" w:cs="Arial"/>
          <w:b/>
          <w:bCs/>
          <w:color w:val="FFFFFF"/>
          <w:spacing w:val="-7"/>
          <w:kern w:val="36"/>
          <w:sz w:val="48"/>
          <w:szCs w:val="48"/>
          <w:lang w:eastAsia="en-IE"/>
        </w:rPr>
        <w:t>PCC</w:t>
      </w:r>
      <w:r>
        <w:rPr>
          <w:rFonts w:ascii="Arial" w:eastAsia="Times New Roman" w:hAnsi="Arial" w:cs="Arial"/>
          <w:b/>
          <w:bCs/>
          <w:color w:val="FFFFFF"/>
          <w:spacing w:val="-7"/>
          <w:kern w:val="36"/>
          <w:sz w:val="48"/>
          <w:szCs w:val="48"/>
          <w:lang w:eastAsia="en-IE"/>
        </w:rPr>
        <w:t xml:space="preserve"> </w:t>
      </w:r>
      <w:r>
        <w:rPr>
          <w:rFonts w:ascii="Arial" w:eastAsia="Times New Roman" w:hAnsi="Arial" w:cs="Arial"/>
          <w:b/>
          <w:bCs/>
          <w:color w:val="FFFFFF"/>
          <w:spacing w:val="-7"/>
          <w:kern w:val="36"/>
          <w:sz w:val="48"/>
          <w:szCs w:val="48"/>
          <w:lang w:eastAsia="en-IE"/>
        </w:rPr>
        <w:t>Report 2021 on global warming</w:t>
      </w:r>
    </w:p>
    <w:p w14:paraId="50293C56" w14:textId="77777777" w:rsidR="000962CC" w:rsidRDefault="000962CC" w:rsidP="000D7DFF">
      <w:pPr>
        <w:rPr>
          <w:rFonts w:ascii="Arial" w:hAnsi="Arial" w:cs="Arial"/>
          <w:color w:val="202124"/>
          <w:shd w:val="clear" w:color="auto" w:fill="FFFFFF"/>
        </w:rPr>
      </w:pPr>
    </w:p>
    <w:p w14:paraId="07438E3C" w14:textId="02D212D6" w:rsidR="00DE12A6" w:rsidRDefault="00DE12A6" w:rsidP="000D7DFF">
      <w:pPr>
        <w:rPr>
          <w:rFonts w:ascii="Arial" w:hAnsi="Arial" w:cs="Arial"/>
          <w:color w:val="202124"/>
          <w:shd w:val="clear" w:color="auto" w:fill="FFFFFF"/>
        </w:rPr>
      </w:pPr>
      <w:r w:rsidRPr="00DE12A6">
        <w:rPr>
          <w:rFonts w:ascii="Arial" w:hAnsi="Arial" w:cs="Arial"/>
          <w:color w:val="202124"/>
          <w:shd w:val="clear" w:color="auto" w:fill="FFFFFF"/>
        </w:rPr>
        <w:t xml:space="preserve">The report provides new estimates of the chances of crossing the global warming level of 1.5°C in the next decades, and finds that unless there are immediate, </w:t>
      </w:r>
      <w:r w:rsidR="000962CC" w:rsidRPr="00DE12A6">
        <w:rPr>
          <w:rFonts w:ascii="Arial" w:hAnsi="Arial" w:cs="Arial"/>
          <w:color w:val="202124"/>
          <w:shd w:val="clear" w:color="auto" w:fill="FFFFFF"/>
        </w:rPr>
        <w:t>rapid,</w:t>
      </w:r>
      <w:r w:rsidRPr="00DE12A6">
        <w:rPr>
          <w:rFonts w:ascii="Arial" w:hAnsi="Arial" w:cs="Arial"/>
          <w:color w:val="202124"/>
          <w:shd w:val="clear" w:color="auto" w:fill="FFFFFF"/>
        </w:rPr>
        <w:t xml:space="preserve"> and large-scale reductions in greenhouse gas emissions, limiting warming to close to 1.5°C or even 2°C will be beyond reach.</w:t>
      </w:r>
    </w:p>
    <w:p w14:paraId="0B4A9806" w14:textId="5D22138E" w:rsidR="000962CC" w:rsidRDefault="000962CC" w:rsidP="000D7DFF">
      <w:pPr>
        <w:rPr>
          <w:rFonts w:ascii="Arial" w:hAnsi="Arial" w:cs="Arial"/>
          <w:color w:val="202124"/>
          <w:shd w:val="clear" w:color="auto" w:fill="FFFFFF"/>
        </w:rPr>
      </w:pPr>
      <w:r>
        <w:rPr>
          <w:rFonts w:ascii="Arial" w:hAnsi="Arial" w:cs="Arial"/>
          <w:color w:val="202124"/>
          <w:shd w:val="clear" w:color="auto" w:fill="FFFFFF"/>
        </w:rPr>
        <w:t xml:space="preserve">IPCC Report key takeaways on the climate change: </w:t>
      </w:r>
    </w:p>
    <w:p w14:paraId="3255142F" w14:textId="48278428" w:rsidR="00DE12A6" w:rsidRDefault="000962CC" w:rsidP="000962CC">
      <w:pPr>
        <w:pStyle w:val="Heading3"/>
        <w:numPr>
          <w:ilvl w:val="0"/>
          <w:numId w:val="2"/>
        </w:numPr>
        <w:shd w:val="clear" w:color="auto" w:fill="FFFFFF"/>
        <w:tabs>
          <w:tab w:val="left" w:pos="6184"/>
        </w:tabs>
        <w:spacing w:before="0"/>
        <w:rPr>
          <w:rFonts w:ascii="Arial" w:eastAsiaTheme="minorHAnsi" w:hAnsi="Arial" w:cs="Arial"/>
          <w:color w:val="202124"/>
          <w:sz w:val="22"/>
          <w:szCs w:val="22"/>
          <w:shd w:val="clear" w:color="auto" w:fill="FFFFFF"/>
        </w:rPr>
      </w:pPr>
      <w:r w:rsidRPr="00DE12A6">
        <w:rPr>
          <w:rFonts w:ascii="Arial" w:eastAsiaTheme="minorHAnsi" w:hAnsi="Arial" w:cs="Arial"/>
          <w:color w:val="202124"/>
          <w:sz w:val="22"/>
          <w:szCs w:val="22"/>
          <w:shd w:val="clear" w:color="auto" w:fill="FFFFFF"/>
        </w:rPr>
        <w:t>climate change is indisputably human caused</w:t>
      </w:r>
      <w:r>
        <w:rPr>
          <w:rFonts w:ascii="Arial" w:eastAsiaTheme="minorHAnsi" w:hAnsi="Arial" w:cs="Arial"/>
          <w:color w:val="202124"/>
          <w:sz w:val="22"/>
          <w:szCs w:val="22"/>
          <w:shd w:val="clear" w:color="auto" w:fill="FFFFFF"/>
        </w:rPr>
        <w:tab/>
      </w:r>
    </w:p>
    <w:p w14:paraId="04B99082" w14:textId="07758BA1" w:rsidR="00DE12A6" w:rsidRDefault="000962CC" w:rsidP="000962CC">
      <w:pPr>
        <w:pStyle w:val="Heading3"/>
        <w:numPr>
          <w:ilvl w:val="0"/>
          <w:numId w:val="2"/>
        </w:numPr>
        <w:shd w:val="clear" w:color="auto" w:fill="FFFFFF"/>
        <w:spacing w:before="0"/>
        <w:rPr>
          <w:rFonts w:ascii="Arial" w:eastAsiaTheme="minorHAnsi" w:hAnsi="Arial" w:cs="Arial"/>
          <w:color w:val="202124"/>
          <w:sz w:val="22"/>
          <w:szCs w:val="22"/>
          <w:shd w:val="clear" w:color="auto" w:fill="FFFFFF"/>
        </w:rPr>
      </w:pPr>
      <w:r w:rsidRPr="00DE12A6">
        <w:rPr>
          <w:rFonts w:ascii="Arial" w:eastAsiaTheme="minorHAnsi" w:hAnsi="Arial" w:cs="Arial"/>
          <w:color w:val="202124"/>
          <w:sz w:val="22"/>
          <w:szCs w:val="22"/>
          <w:shd w:val="clear" w:color="auto" w:fill="FFFFFF"/>
        </w:rPr>
        <w:t>2010-2020 was the hottest decade in 125,000 years</w:t>
      </w:r>
    </w:p>
    <w:p w14:paraId="0F4BB995" w14:textId="44FBF45A" w:rsidR="000962CC" w:rsidRDefault="000962CC" w:rsidP="000962CC">
      <w:pPr>
        <w:pStyle w:val="Heading3"/>
        <w:numPr>
          <w:ilvl w:val="0"/>
          <w:numId w:val="2"/>
        </w:numPr>
        <w:shd w:val="clear" w:color="auto" w:fill="FFFFFF"/>
        <w:spacing w:before="0"/>
        <w:rPr>
          <w:rFonts w:ascii="Arial" w:eastAsiaTheme="minorHAnsi" w:hAnsi="Arial" w:cs="Arial"/>
          <w:color w:val="202124"/>
          <w:sz w:val="22"/>
          <w:szCs w:val="22"/>
          <w:shd w:val="clear" w:color="auto" w:fill="FFFFFF"/>
        </w:rPr>
      </w:pPr>
      <w:r w:rsidRPr="000962CC">
        <w:rPr>
          <w:rFonts w:ascii="Arial" w:eastAsiaTheme="minorHAnsi" w:hAnsi="Arial" w:cs="Arial"/>
          <w:color w:val="202124"/>
          <w:sz w:val="22"/>
          <w:szCs w:val="22"/>
          <w:shd w:val="clear" w:color="auto" w:fill="FFFFFF"/>
        </w:rPr>
        <w:t>certain changes we’ve already seen are irreversible</w:t>
      </w:r>
    </w:p>
    <w:p w14:paraId="4AD5A809" w14:textId="74B3D0D4" w:rsidR="000962CC" w:rsidRDefault="000962CC" w:rsidP="000962CC">
      <w:pPr>
        <w:pStyle w:val="Heading3"/>
        <w:numPr>
          <w:ilvl w:val="0"/>
          <w:numId w:val="2"/>
        </w:numPr>
        <w:shd w:val="clear" w:color="auto" w:fill="FFFFFF"/>
        <w:spacing w:before="0"/>
        <w:rPr>
          <w:rFonts w:ascii="Arial" w:eastAsiaTheme="minorHAnsi" w:hAnsi="Arial" w:cs="Arial"/>
          <w:color w:val="202124"/>
          <w:sz w:val="22"/>
          <w:szCs w:val="22"/>
          <w:shd w:val="clear" w:color="auto" w:fill="FFFFFF"/>
        </w:rPr>
      </w:pPr>
      <w:r w:rsidRPr="000962CC">
        <w:rPr>
          <w:rFonts w:ascii="Arial" w:eastAsiaTheme="minorHAnsi" w:hAnsi="Arial" w:cs="Arial"/>
          <w:color w:val="202124"/>
          <w:sz w:val="22"/>
          <w:szCs w:val="22"/>
          <w:shd w:val="clear" w:color="auto" w:fill="FFFFFF"/>
        </w:rPr>
        <w:t>greenhouse gas emissions are the leading cause of climate change</w:t>
      </w:r>
    </w:p>
    <w:p w14:paraId="0685FA90" w14:textId="79FD0BCF" w:rsidR="000962CC" w:rsidRDefault="000962CC" w:rsidP="000962CC">
      <w:pPr>
        <w:pStyle w:val="Heading3"/>
        <w:numPr>
          <w:ilvl w:val="0"/>
          <w:numId w:val="2"/>
        </w:numPr>
        <w:shd w:val="clear" w:color="auto" w:fill="FFFFFF"/>
        <w:spacing w:before="0"/>
        <w:rPr>
          <w:rFonts w:ascii="Arial" w:eastAsiaTheme="minorHAnsi" w:hAnsi="Arial" w:cs="Arial"/>
          <w:color w:val="202124"/>
          <w:sz w:val="22"/>
          <w:szCs w:val="22"/>
          <w:shd w:val="clear" w:color="auto" w:fill="FFFFFF"/>
        </w:rPr>
      </w:pPr>
      <w:r w:rsidRPr="000962CC">
        <w:rPr>
          <w:rFonts w:ascii="Arial" w:eastAsiaTheme="minorHAnsi" w:hAnsi="Arial" w:cs="Arial"/>
          <w:color w:val="202124"/>
          <w:sz w:val="22"/>
          <w:szCs w:val="22"/>
          <w:shd w:val="clear" w:color="auto" w:fill="FFFFFF"/>
        </w:rPr>
        <w:t>climate events are increasing in severity and number in every region of the planet</w:t>
      </w:r>
    </w:p>
    <w:p w14:paraId="7BBB02C0" w14:textId="750543CB" w:rsidR="000962CC" w:rsidRDefault="000962CC" w:rsidP="000962CC"/>
    <w:p w14:paraId="09A9B5AE" w14:textId="4D770945" w:rsidR="00DE12A6" w:rsidRPr="00DE12A6" w:rsidRDefault="00DE12A6" w:rsidP="005863D4">
      <w:pPr>
        <w:jc w:val="center"/>
      </w:pPr>
    </w:p>
    <w:p w14:paraId="07470B7B" w14:textId="5D65C781" w:rsidR="005863D4" w:rsidRDefault="00E03760" w:rsidP="005863D4">
      <w:pPr>
        <w:rPr>
          <w:b/>
          <w:bCs/>
          <w:sz w:val="40"/>
          <w:szCs w:val="40"/>
          <w:lang w:val="en-US"/>
        </w:rPr>
      </w:pPr>
      <w:r>
        <w:rPr>
          <w:noProof/>
        </w:rPr>
        <w:drawing>
          <wp:inline distT="0" distB="0" distL="0" distR="0" wp14:anchorId="14A166E5" wp14:editId="5AD5F6B1">
            <wp:extent cx="5731510" cy="1090295"/>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731510" cy="1090295"/>
                    </a:xfrm>
                    <a:prstGeom prst="rect">
                      <a:avLst/>
                    </a:prstGeom>
                  </pic:spPr>
                </pic:pic>
              </a:graphicData>
            </a:graphic>
          </wp:inline>
        </w:drawing>
      </w:r>
    </w:p>
    <w:p w14:paraId="044CE960" w14:textId="77777777" w:rsidR="00E03760" w:rsidRDefault="00E03760" w:rsidP="005863D4">
      <w:pPr>
        <w:rPr>
          <w:rFonts w:ascii="Arial" w:hAnsi="Arial" w:cs="Arial"/>
          <w:color w:val="202124"/>
          <w:shd w:val="clear" w:color="auto" w:fill="FFFFFF"/>
        </w:rPr>
      </w:pPr>
      <w:r w:rsidRPr="00E03760">
        <w:rPr>
          <w:rFonts w:ascii="Arial" w:hAnsi="Arial" w:cs="Arial"/>
          <w:color w:val="202124"/>
          <w:shd w:val="clear" w:color="auto" w:fill="FFFFFF"/>
        </w:rPr>
        <w:t xml:space="preserve">The new market arrangements are designed to integrate the all-island electricity </w:t>
      </w:r>
      <w:r w:rsidRPr="00E03760">
        <w:rPr>
          <w:rFonts w:ascii="Arial" w:hAnsi="Arial" w:cs="Arial"/>
          <w:color w:val="202124"/>
          <w:shd w:val="clear" w:color="auto" w:fill="FFFFFF"/>
        </w:rPr>
        <w:br/>
        <w:t xml:space="preserve">market with European electricity markets, making optimal use of cross-border </w:t>
      </w:r>
      <w:r w:rsidRPr="00E03760">
        <w:rPr>
          <w:rFonts w:ascii="Arial" w:hAnsi="Arial" w:cs="Arial"/>
          <w:color w:val="202124"/>
          <w:shd w:val="clear" w:color="auto" w:fill="FFFFFF"/>
        </w:rPr>
        <w:br/>
        <w:t xml:space="preserve">transmission assets, which, according to the SEM Committee1, is expected to </w:t>
      </w:r>
      <w:r w:rsidRPr="00E03760">
        <w:rPr>
          <w:rFonts w:ascii="Arial" w:hAnsi="Arial" w:cs="Arial"/>
          <w:color w:val="202124"/>
          <w:shd w:val="clear" w:color="auto" w:fill="FFFFFF"/>
        </w:rPr>
        <w:br/>
        <w:t xml:space="preserve">“deliver increased levels of competition which should help put a downward pressure </w:t>
      </w:r>
      <w:r w:rsidRPr="00E03760">
        <w:rPr>
          <w:rFonts w:ascii="Arial" w:hAnsi="Arial" w:cs="Arial"/>
          <w:color w:val="202124"/>
          <w:shd w:val="clear" w:color="auto" w:fill="FFFFFF"/>
        </w:rPr>
        <w:br/>
        <w:t xml:space="preserve">on prices as well as encouraging greater levels of security of supply and </w:t>
      </w:r>
      <w:r w:rsidRPr="00E03760">
        <w:rPr>
          <w:rFonts w:ascii="Arial" w:hAnsi="Arial" w:cs="Arial"/>
          <w:color w:val="202124"/>
          <w:shd w:val="clear" w:color="auto" w:fill="FFFFFF"/>
        </w:rPr>
        <w:br/>
        <w:t xml:space="preserve">transparency”. </w:t>
      </w:r>
    </w:p>
    <w:p w14:paraId="46D6FC03" w14:textId="77777777" w:rsidR="007B0935" w:rsidRDefault="007B0935" w:rsidP="005863D4">
      <w:pPr>
        <w:rPr>
          <w:rFonts w:ascii="Arial" w:hAnsi="Arial" w:cs="Arial"/>
          <w:color w:val="202124"/>
          <w:shd w:val="clear" w:color="auto" w:fill="FFFFFF"/>
        </w:rPr>
      </w:pPr>
      <w:r>
        <w:rPr>
          <w:rFonts w:ascii="Arial" w:hAnsi="Arial" w:cs="Arial"/>
          <w:color w:val="202124"/>
          <w:shd w:val="clear" w:color="auto" w:fill="FFFFFF"/>
        </w:rPr>
        <w:t>T</w:t>
      </w:r>
      <w:r w:rsidR="00E03760" w:rsidRPr="00E03760">
        <w:rPr>
          <w:rFonts w:ascii="Arial" w:hAnsi="Arial" w:cs="Arial"/>
          <w:color w:val="202124"/>
          <w:shd w:val="clear" w:color="auto" w:fill="FFFFFF"/>
        </w:rPr>
        <w:t xml:space="preserve">he I-SEM </w:t>
      </w:r>
      <w:r w:rsidRPr="00E03760">
        <w:rPr>
          <w:rFonts w:ascii="Arial" w:hAnsi="Arial" w:cs="Arial"/>
          <w:color w:val="202124"/>
          <w:shd w:val="clear" w:color="auto" w:fill="FFFFFF"/>
        </w:rPr>
        <w:t>design</w:t>
      </w:r>
      <w:r>
        <w:rPr>
          <w:rFonts w:ascii="Arial" w:hAnsi="Arial" w:cs="Arial"/>
          <w:color w:val="202124"/>
          <w:shd w:val="clear" w:color="auto" w:fill="FFFFFF"/>
        </w:rPr>
        <w:t>s to</w:t>
      </w:r>
      <w:r w:rsidRPr="00E03760">
        <w:rPr>
          <w:rFonts w:ascii="Arial" w:hAnsi="Arial" w:cs="Arial"/>
          <w:color w:val="202124"/>
          <w:shd w:val="clear" w:color="auto" w:fill="FFFFFF"/>
        </w:rPr>
        <w:t xml:space="preserve"> </w:t>
      </w:r>
      <w:r>
        <w:rPr>
          <w:rFonts w:ascii="Arial" w:hAnsi="Arial" w:cs="Arial"/>
          <w:color w:val="202124"/>
          <w:shd w:val="clear" w:color="auto" w:fill="FFFFFF"/>
        </w:rPr>
        <w:t>include:</w:t>
      </w:r>
    </w:p>
    <w:p w14:paraId="21B8832B" w14:textId="3158DB8D" w:rsidR="007B0935" w:rsidRDefault="00E03760" w:rsidP="007B0935">
      <w:pPr>
        <w:pStyle w:val="ListParagraph"/>
        <w:numPr>
          <w:ilvl w:val="0"/>
          <w:numId w:val="2"/>
        </w:numPr>
        <w:rPr>
          <w:rFonts w:ascii="Arial" w:hAnsi="Arial" w:cs="Arial"/>
          <w:color w:val="202124"/>
          <w:shd w:val="clear" w:color="auto" w:fill="FFFFFF"/>
        </w:rPr>
      </w:pPr>
      <w:r w:rsidRPr="007B0935">
        <w:rPr>
          <w:rFonts w:ascii="Arial" w:hAnsi="Arial" w:cs="Arial"/>
          <w:color w:val="202124"/>
          <w:shd w:val="clear" w:color="auto" w:fill="FFFFFF"/>
        </w:rPr>
        <w:lastRenderedPageBreak/>
        <w:t xml:space="preserve">how energy is bought and </w:t>
      </w:r>
      <w:r w:rsidR="007B0935" w:rsidRPr="007B0935">
        <w:rPr>
          <w:rFonts w:ascii="Arial" w:hAnsi="Arial" w:cs="Arial"/>
          <w:color w:val="202124"/>
          <w:shd w:val="clear" w:color="auto" w:fill="FFFFFF"/>
        </w:rPr>
        <w:t>sold.</w:t>
      </w:r>
      <w:r w:rsidRPr="007B0935">
        <w:rPr>
          <w:rFonts w:ascii="Arial" w:hAnsi="Arial" w:cs="Arial"/>
          <w:color w:val="202124"/>
          <w:shd w:val="clear" w:color="auto" w:fill="FFFFFF"/>
        </w:rPr>
        <w:t xml:space="preserve"> </w:t>
      </w:r>
    </w:p>
    <w:p w14:paraId="45F09DA7" w14:textId="2C69D461" w:rsidR="007B0935" w:rsidRDefault="00E03760" w:rsidP="007B0935">
      <w:pPr>
        <w:pStyle w:val="ListParagraph"/>
        <w:numPr>
          <w:ilvl w:val="0"/>
          <w:numId w:val="2"/>
        </w:numPr>
        <w:rPr>
          <w:rFonts w:ascii="Arial" w:hAnsi="Arial" w:cs="Arial"/>
          <w:color w:val="202124"/>
          <w:shd w:val="clear" w:color="auto" w:fill="FFFFFF"/>
        </w:rPr>
      </w:pPr>
      <w:r w:rsidRPr="007B0935">
        <w:rPr>
          <w:rFonts w:ascii="Arial" w:hAnsi="Arial" w:cs="Arial"/>
          <w:color w:val="202124"/>
          <w:shd w:val="clear" w:color="auto" w:fill="FFFFFF"/>
        </w:rPr>
        <w:t xml:space="preserve">how generators are remunerated for </w:t>
      </w:r>
      <w:r w:rsidR="007B0935" w:rsidRPr="007B0935">
        <w:rPr>
          <w:rFonts w:ascii="Arial" w:hAnsi="Arial" w:cs="Arial"/>
          <w:color w:val="202124"/>
          <w:shd w:val="clear" w:color="auto" w:fill="FFFFFF"/>
        </w:rPr>
        <w:t>availability.</w:t>
      </w:r>
      <w:r w:rsidRPr="007B0935">
        <w:rPr>
          <w:rFonts w:ascii="Arial" w:hAnsi="Arial" w:cs="Arial"/>
          <w:color w:val="202124"/>
          <w:shd w:val="clear" w:color="auto" w:fill="FFFFFF"/>
        </w:rPr>
        <w:t xml:space="preserve"> </w:t>
      </w:r>
    </w:p>
    <w:p w14:paraId="02BEBA78" w14:textId="7EDB1602" w:rsidR="007B0935" w:rsidRDefault="00E03760" w:rsidP="007B0935">
      <w:pPr>
        <w:pStyle w:val="ListParagraph"/>
        <w:numPr>
          <w:ilvl w:val="0"/>
          <w:numId w:val="2"/>
        </w:numPr>
        <w:rPr>
          <w:rFonts w:ascii="Arial" w:hAnsi="Arial" w:cs="Arial"/>
          <w:color w:val="202124"/>
          <w:shd w:val="clear" w:color="auto" w:fill="FFFFFF"/>
        </w:rPr>
      </w:pPr>
      <w:r w:rsidRPr="007B0935">
        <w:rPr>
          <w:rFonts w:ascii="Arial" w:hAnsi="Arial" w:cs="Arial"/>
          <w:color w:val="202124"/>
          <w:shd w:val="clear" w:color="auto" w:fill="FFFFFF"/>
        </w:rPr>
        <w:t xml:space="preserve">forward trading arrangements and market </w:t>
      </w:r>
      <w:r w:rsidR="007B0935" w:rsidRPr="007B0935">
        <w:rPr>
          <w:rFonts w:ascii="Arial" w:hAnsi="Arial" w:cs="Arial"/>
          <w:color w:val="202124"/>
          <w:shd w:val="clear" w:color="auto" w:fill="FFFFFF"/>
        </w:rPr>
        <w:t>liquidity.</w:t>
      </w:r>
      <w:r w:rsidRPr="007B0935">
        <w:rPr>
          <w:rFonts w:ascii="Arial" w:hAnsi="Arial" w:cs="Arial"/>
          <w:color w:val="202124"/>
          <w:shd w:val="clear" w:color="auto" w:fill="FFFFFF"/>
        </w:rPr>
        <w:t xml:space="preserve"> </w:t>
      </w:r>
    </w:p>
    <w:p w14:paraId="4A0D99D8" w14:textId="76822DC4" w:rsidR="007B0935" w:rsidRDefault="00E03760" w:rsidP="007B0935">
      <w:pPr>
        <w:pStyle w:val="ListParagraph"/>
        <w:numPr>
          <w:ilvl w:val="0"/>
          <w:numId w:val="2"/>
        </w:numPr>
        <w:rPr>
          <w:rFonts w:ascii="Arial" w:hAnsi="Arial" w:cs="Arial"/>
          <w:color w:val="202124"/>
          <w:shd w:val="clear" w:color="auto" w:fill="FFFFFF"/>
        </w:rPr>
      </w:pPr>
      <w:r w:rsidRPr="007B0935">
        <w:rPr>
          <w:rFonts w:ascii="Arial" w:hAnsi="Arial" w:cs="Arial"/>
          <w:color w:val="202124"/>
          <w:shd w:val="clear" w:color="auto" w:fill="FFFFFF"/>
        </w:rPr>
        <w:t xml:space="preserve">market power </w:t>
      </w:r>
      <w:r w:rsidR="007B0935" w:rsidRPr="007B0935">
        <w:rPr>
          <w:rFonts w:ascii="Arial" w:hAnsi="Arial" w:cs="Arial"/>
          <w:color w:val="202124"/>
          <w:shd w:val="clear" w:color="auto" w:fill="FFFFFF"/>
        </w:rPr>
        <w:t>controls.</w:t>
      </w:r>
      <w:r w:rsidRPr="007B0935">
        <w:rPr>
          <w:rFonts w:ascii="Arial" w:hAnsi="Arial" w:cs="Arial"/>
          <w:color w:val="202124"/>
          <w:shd w:val="clear" w:color="auto" w:fill="FFFFFF"/>
        </w:rPr>
        <w:t xml:space="preserve"> </w:t>
      </w:r>
    </w:p>
    <w:p w14:paraId="24A38C96" w14:textId="6CD32FBA" w:rsidR="00E03760" w:rsidRDefault="00E03760" w:rsidP="007B0935">
      <w:pPr>
        <w:pStyle w:val="ListParagraph"/>
        <w:numPr>
          <w:ilvl w:val="0"/>
          <w:numId w:val="2"/>
        </w:numPr>
        <w:rPr>
          <w:rFonts w:ascii="Arial" w:hAnsi="Arial" w:cs="Arial"/>
          <w:color w:val="202124"/>
          <w:shd w:val="clear" w:color="auto" w:fill="FFFFFF"/>
        </w:rPr>
      </w:pPr>
      <w:r w:rsidRPr="007B0935">
        <w:rPr>
          <w:rFonts w:ascii="Arial" w:hAnsi="Arial" w:cs="Arial"/>
          <w:color w:val="202124"/>
          <w:shd w:val="clear" w:color="auto" w:fill="FFFFFF"/>
        </w:rPr>
        <w:t>and the systems, policies and procedures that are required to operate the market.</w:t>
      </w:r>
    </w:p>
    <w:p w14:paraId="7810E222" w14:textId="77777777" w:rsidR="00C03592" w:rsidRDefault="00C03592" w:rsidP="00DE12A6"/>
    <w:p w14:paraId="66F03CFE" w14:textId="2C94EDA7" w:rsidR="00C55CFA" w:rsidRPr="00FD0038" w:rsidRDefault="00C55CFA" w:rsidP="00C55CFA">
      <w:pPr>
        <w:shd w:val="clear" w:color="auto" w:fill="000000"/>
        <w:spacing w:after="0" w:line="240" w:lineRule="auto"/>
        <w:textAlignment w:val="baseline"/>
        <w:outlineLvl w:val="0"/>
        <w:rPr>
          <w:rFonts w:ascii="Arial" w:eastAsia="Times New Roman" w:hAnsi="Arial" w:cs="Arial"/>
          <w:b/>
          <w:bCs/>
          <w:color w:val="FFFFFF"/>
          <w:spacing w:val="-7"/>
          <w:kern w:val="36"/>
          <w:sz w:val="48"/>
          <w:szCs w:val="48"/>
          <w:lang w:eastAsia="en-IE"/>
        </w:rPr>
      </w:pPr>
      <w:r>
        <w:rPr>
          <w:rFonts w:ascii="Arial" w:eastAsia="Times New Roman" w:hAnsi="Arial" w:cs="Arial"/>
          <w:b/>
          <w:bCs/>
          <w:color w:val="FFFFFF"/>
          <w:spacing w:val="-7"/>
          <w:kern w:val="36"/>
          <w:sz w:val="48"/>
          <w:szCs w:val="48"/>
          <w:lang w:eastAsia="en-IE"/>
        </w:rPr>
        <w:t xml:space="preserve">IEA </w:t>
      </w:r>
      <w:r>
        <w:rPr>
          <w:rFonts w:ascii="Arial" w:eastAsia="Times New Roman" w:hAnsi="Arial" w:cs="Arial"/>
          <w:b/>
          <w:bCs/>
          <w:color w:val="FFFFFF"/>
          <w:spacing w:val="-7"/>
          <w:kern w:val="36"/>
          <w:sz w:val="48"/>
          <w:szCs w:val="48"/>
          <w:lang w:eastAsia="en-IE"/>
        </w:rPr>
        <w:t>Energy efficiency 2021</w:t>
      </w:r>
    </w:p>
    <w:p w14:paraId="634075AB" w14:textId="77777777" w:rsidR="00C55CFA" w:rsidRPr="00DE12A6" w:rsidRDefault="00C55CFA" w:rsidP="00DE12A6"/>
    <w:p w14:paraId="47EFE5E0" w14:textId="7DA98EAB" w:rsidR="00DE12A6" w:rsidRDefault="00FE0148" w:rsidP="003B17E8">
      <w:pPr>
        <w:spacing w:after="0" w:line="240" w:lineRule="auto"/>
        <w:textAlignment w:val="baseline"/>
        <w:rPr>
          <w:rFonts w:ascii="inherit" w:eastAsia="Times New Roman" w:hAnsi="inherit" w:cs="Arial"/>
          <w:color w:val="000000"/>
          <w:sz w:val="24"/>
          <w:szCs w:val="24"/>
          <w:lang w:eastAsia="en-IE"/>
        </w:rPr>
      </w:pPr>
      <w:r>
        <w:rPr>
          <w:rFonts w:ascii="Arial" w:hAnsi="Arial" w:cs="Arial"/>
          <w:color w:val="202124"/>
          <w:shd w:val="clear" w:color="auto" w:fill="FFFFFF"/>
        </w:rPr>
        <w:t>International energy agency (IEA) report on e</w:t>
      </w:r>
      <w:r w:rsidR="00C55CFA" w:rsidRPr="00C55CFA">
        <w:rPr>
          <w:rFonts w:ascii="Arial" w:hAnsi="Arial" w:cs="Arial"/>
          <w:color w:val="202124"/>
          <w:shd w:val="clear" w:color="auto" w:fill="FFFFFF"/>
        </w:rPr>
        <w:t xml:space="preserve">nergy </w:t>
      </w:r>
      <w:r>
        <w:rPr>
          <w:rFonts w:ascii="Arial" w:hAnsi="Arial" w:cs="Arial"/>
          <w:color w:val="202124"/>
          <w:shd w:val="clear" w:color="auto" w:fill="FFFFFF"/>
        </w:rPr>
        <w:t>e</w:t>
      </w:r>
      <w:r w:rsidR="00C55CFA" w:rsidRPr="00C55CFA">
        <w:rPr>
          <w:rFonts w:ascii="Arial" w:hAnsi="Arial" w:cs="Arial"/>
          <w:color w:val="202124"/>
          <w:shd w:val="clear" w:color="auto" w:fill="FFFFFF"/>
        </w:rPr>
        <w:t xml:space="preserve">fficiency 2021 </w:t>
      </w:r>
      <w:r>
        <w:rPr>
          <w:rFonts w:ascii="Arial" w:hAnsi="Arial" w:cs="Arial"/>
          <w:color w:val="202124"/>
          <w:shd w:val="clear" w:color="auto" w:fill="FFFFFF"/>
        </w:rPr>
        <w:t xml:space="preserve">highlights </w:t>
      </w:r>
      <w:r w:rsidR="00C55CFA" w:rsidRPr="00C55CFA">
        <w:rPr>
          <w:rFonts w:ascii="Arial" w:hAnsi="Arial" w:cs="Arial"/>
          <w:color w:val="202124"/>
          <w:shd w:val="clear" w:color="auto" w:fill="FFFFFF"/>
        </w:rPr>
        <w:t xml:space="preserve">on global developments in energy efficiency. This </w:t>
      </w:r>
      <w:r w:rsidR="000813C7">
        <w:rPr>
          <w:rFonts w:ascii="Arial" w:hAnsi="Arial" w:cs="Arial"/>
          <w:color w:val="202124"/>
          <w:shd w:val="clear" w:color="auto" w:fill="FFFFFF"/>
        </w:rPr>
        <w:t>2021-year</w:t>
      </w:r>
      <w:r w:rsidR="00C55CFA" w:rsidRPr="00C55CFA">
        <w:rPr>
          <w:rFonts w:ascii="Arial" w:hAnsi="Arial" w:cs="Arial"/>
          <w:color w:val="202124"/>
          <w:shd w:val="clear" w:color="auto" w:fill="FFFFFF"/>
        </w:rPr>
        <w:t xml:space="preserve"> edition explores recent trends in energy efficiency markets at the economy-wide and sectoral levels, including developments in policy and investment.</w:t>
      </w:r>
      <w:r w:rsidR="00C55CFA" w:rsidRPr="00C55CFA">
        <w:rPr>
          <w:rFonts w:ascii="Arial" w:hAnsi="Arial" w:cs="Arial"/>
          <w:color w:val="202124"/>
          <w:shd w:val="clear" w:color="auto" w:fill="FFFFFF"/>
        </w:rPr>
        <w:br/>
      </w:r>
      <w:r w:rsidR="00C55CFA" w:rsidRPr="00C55CFA">
        <w:rPr>
          <w:rFonts w:ascii="Arial" w:hAnsi="Arial" w:cs="Arial"/>
          <w:color w:val="202124"/>
          <w:shd w:val="clear" w:color="auto" w:fill="FFFFFF"/>
        </w:rPr>
        <w:br/>
        <w:t xml:space="preserve">The report also focuses on the role of energy efficiency in achieving net zero emissions in the energy sector by 2050, including an examination of the crucial role of efficient appliances and equipment, </w:t>
      </w:r>
      <w:r>
        <w:rPr>
          <w:rFonts w:ascii="Arial" w:hAnsi="Arial" w:cs="Arial"/>
          <w:color w:val="202124"/>
          <w:shd w:val="clear" w:color="auto" w:fill="FFFFFF"/>
        </w:rPr>
        <w:t>along with</w:t>
      </w:r>
      <w:r w:rsidR="00C55CFA" w:rsidRPr="00C55CFA">
        <w:rPr>
          <w:rFonts w:ascii="Arial" w:hAnsi="Arial" w:cs="Arial"/>
          <w:color w:val="202124"/>
          <w:shd w:val="clear" w:color="auto" w:fill="FFFFFF"/>
        </w:rPr>
        <w:t xml:space="preserve"> all major energy efficiency net zero milestones in buildings, transport and industry.</w:t>
      </w:r>
      <w:r w:rsidR="00C55CFA" w:rsidRPr="00C55CFA">
        <w:rPr>
          <w:rFonts w:ascii="Arial" w:hAnsi="Arial" w:cs="Arial"/>
          <w:color w:val="202124"/>
          <w:shd w:val="clear" w:color="auto" w:fill="FFFFFF"/>
        </w:rPr>
        <w:br/>
      </w:r>
      <w:r w:rsidR="00C55CFA" w:rsidRPr="00C55CFA">
        <w:rPr>
          <w:rFonts w:ascii="Arial" w:hAnsi="Arial" w:cs="Arial"/>
          <w:color w:val="202124"/>
          <w:shd w:val="clear" w:color="auto" w:fill="FFFFFF"/>
        </w:rPr>
        <w:br/>
      </w:r>
      <w:r w:rsidR="003B17E8">
        <w:rPr>
          <w:rFonts w:ascii="Arial" w:hAnsi="Arial" w:cs="Arial"/>
          <w:color w:val="202124"/>
          <w:shd w:val="clear" w:color="auto" w:fill="FFFFFF"/>
        </w:rPr>
        <w:t xml:space="preserve">IEA report states that </w:t>
      </w:r>
      <w:r w:rsidR="003B17E8" w:rsidRPr="003B17E8">
        <w:rPr>
          <w:rFonts w:ascii="Arial" w:hAnsi="Arial" w:cs="Arial"/>
          <w:color w:val="202124"/>
          <w:shd w:val="clear" w:color="auto" w:fill="FFFFFF"/>
        </w:rPr>
        <w:t xml:space="preserve">Energy efficiency trends are expected to return to their </w:t>
      </w:r>
      <w:r w:rsidR="003B17E8" w:rsidRPr="003B17E8">
        <w:rPr>
          <w:rFonts w:ascii="Arial" w:hAnsi="Arial" w:cs="Arial"/>
          <w:color w:val="202124"/>
          <w:shd w:val="clear" w:color="auto" w:fill="FFFFFF"/>
        </w:rPr>
        <w:t>ten-year</w:t>
      </w:r>
      <w:r w:rsidR="003B17E8" w:rsidRPr="003B17E8">
        <w:rPr>
          <w:rFonts w:ascii="Arial" w:hAnsi="Arial" w:cs="Arial"/>
          <w:color w:val="202124"/>
          <w:shd w:val="clear" w:color="auto" w:fill="FFFFFF"/>
        </w:rPr>
        <w:t xml:space="preserve"> average after the worst year in a decade</w:t>
      </w:r>
      <w:r w:rsidR="003B17E8">
        <w:rPr>
          <w:rFonts w:ascii="Arial" w:hAnsi="Arial" w:cs="Arial"/>
          <w:color w:val="202124"/>
          <w:shd w:val="clear" w:color="auto" w:fill="FFFFFF"/>
        </w:rPr>
        <w:t xml:space="preserve">, but the </w:t>
      </w:r>
      <w:r w:rsidR="003B17E8" w:rsidRPr="003B17E8">
        <w:rPr>
          <w:rFonts w:ascii="Arial" w:hAnsi="Arial" w:cs="Arial"/>
          <w:color w:val="202124"/>
          <w:shd w:val="clear" w:color="auto" w:fill="FFFFFF"/>
        </w:rPr>
        <w:t>rate of improvement needs to double from current levels to match the gain outlined in the IEA Net Zero Emissions by 2050 Scenario. In 2021, global energy intensity is expected to improve (that is, to fall) by 1.9% after improving by only 0.5% in 2020.</w:t>
      </w:r>
      <w:hyperlink r:id="rId12" w:history="1">
        <w:r w:rsidR="00C55CFA" w:rsidRPr="00C55CFA">
          <w:rPr>
            <w:rFonts w:ascii="inherit" w:eastAsia="Times New Roman" w:hAnsi="inherit" w:cs="Arial"/>
            <w:color w:val="0000FF"/>
            <w:sz w:val="24"/>
            <w:szCs w:val="24"/>
            <w:lang w:eastAsia="en-IE"/>
          </w:rPr>
          <w:br/>
        </w:r>
      </w:hyperlink>
    </w:p>
    <w:p w14:paraId="41272D11" w14:textId="3204A195" w:rsidR="003B17E8" w:rsidRDefault="003B17E8" w:rsidP="00C55CFA">
      <w:pPr>
        <w:rPr>
          <w:rFonts w:ascii="Arial" w:hAnsi="Arial" w:cs="Arial"/>
          <w:color w:val="202124"/>
          <w:shd w:val="clear" w:color="auto" w:fill="FFFFFF"/>
        </w:rPr>
      </w:pPr>
      <w:r w:rsidRPr="003B17E8">
        <w:rPr>
          <w:rFonts w:ascii="Arial" w:hAnsi="Arial" w:cs="Arial"/>
          <w:color w:val="202124"/>
          <w:shd w:val="clear" w:color="auto" w:fill="FFFFFF"/>
        </w:rPr>
        <w:t>Over the past five years, energy intensity has improved on average by 1.3% a year, down from 2.3% between 2011 and 2016, and well below the 4% described in the Net Zero Emissions by 2050 Scenario over 2020-2030.</w:t>
      </w:r>
    </w:p>
    <w:p w14:paraId="5269451E" w14:textId="2B8D670B" w:rsidR="00973AAE" w:rsidRDefault="00973AAE" w:rsidP="000D7DFF">
      <w:pPr>
        <w:rPr>
          <w:rFonts w:ascii="Arial" w:hAnsi="Arial" w:cs="Arial"/>
          <w:color w:val="202124"/>
          <w:shd w:val="clear" w:color="auto" w:fill="FFFFFF"/>
        </w:rPr>
      </w:pPr>
    </w:p>
    <w:p w14:paraId="6AB6CDFC" w14:textId="02093735" w:rsidR="00973AAE" w:rsidRDefault="00973AAE" w:rsidP="000D7DFF">
      <w:pPr>
        <w:rPr>
          <w:rFonts w:ascii="Arial" w:hAnsi="Arial" w:cs="Arial"/>
          <w:color w:val="202124"/>
          <w:shd w:val="clear" w:color="auto" w:fill="FFFFFF"/>
        </w:rPr>
      </w:pPr>
    </w:p>
    <w:p w14:paraId="3697ACFE" w14:textId="73D463B7" w:rsidR="00973AAE" w:rsidRDefault="00973AAE" w:rsidP="000D7DFF">
      <w:pPr>
        <w:rPr>
          <w:rFonts w:ascii="Arial" w:hAnsi="Arial" w:cs="Arial"/>
          <w:color w:val="202124"/>
          <w:shd w:val="clear" w:color="auto" w:fill="FFFFFF"/>
        </w:rPr>
      </w:pPr>
    </w:p>
    <w:p w14:paraId="36025359" w14:textId="12445E84" w:rsidR="00973AAE" w:rsidRDefault="00973AAE" w:rsidP="000D7DFF">
      <w:pPr>
        <w:rPr>
          <w:rFonts w:ascii="Arial" w:hAnsi="Arial" w:cs="Arial"/>
          <w:color w:val="202124"/>
          <w:shd w:val="clear" w:color="auto" w:fill="FFFFFF"/>
        </w:rPr>
      </w:pPr>
    </w:p>
    <w:p w14:paraId="63EAB7FB" w14:textId="3EA103B5" w:rsidR="00973AAE" w:rsidRDefault="00973AAE" w:rsidP="000D7DFF">
      <w:pPr>
        <w:rPr>
          <w:rFonts w:ascii="Arial" w:hAnsi="Arial" w:cs="Arial"/>
          <w:color w:val="202124"/>
          <w:shd w:val="clear" w:color="auto" w:fill="FFFFFF"/>
        </w:rPr>
      </w:pPr>
    </w:p>
    <w:p w14:paraId="42180355" w14:textId="2E449FC8" w:rsidR="00973AAE" w:rsidRDefault="00973AAE" w:rsidP="000D7DFF">
      <w:pPr>
        <w:rPr>
          <w:rFonts w:ascii="Arial" w:hAnsi="Arial" w:cs="Arial"/>
          <w:color w:val="202124"/>
          <w:shd w:val="clear" w:color="auto" w:fill="FFFFFF"/>
        </w:rPr>
      </w:pPr>
    </w:p>
    <w:p w14:paraId="19B29593" w14:textId="7320DAAD" w:rsidR="00973AAE" w:rsidRDefault="00973AAE" w:rsidP="000D7DFF">
      <w:pPr>
        <w:rPr>
          <w:rFonts w:ascii="Arial" w:hAnsi="Arial" w:cs="Arial"/>
          <w:color w:val="202124"/>
          <w:shd w:val="clear" w:color="auto" w:fill="FFFFFF"/>
        </w:rPr>
      </w:pPr>
    </w:p>
    <w:p w14:paraId="4E721A7B" w14:textId="0A6EAF70" w:rsidR="00973AAE" w:rsidRDefault="00973AAE" w:rsidP="000D7DFF">
      <w:pPr>
        <w:rPr>
          <w:rFonts w:ascii="Arial" w:hAnsi="Arial" w:cs="Arial"/>
          <w:color w:val="202124"/>
          <w:shd w:val="clear" w:color="auto" w:fill="FFFFFF"/>
        </w:rPr>
      </w:pPr>
    </w:p>
    <w:p w14:paraId="534D0B7E" w14:textId="4DBEB644" w:rsidR="00973AAE" w:rsidRDefault="00973AAE" w:rsidP="000D7DFF">
      <w:pPr>
        <w:rPr>
          <w:rFonts w:ascii="Arial" w:hAnsi="Arial" w:cs="Arial"/>
          <w:color w:val="202124"/>
          <w:shd w:val="clear" w:color="auto" w:fill="FFFFFF"/>
        </w:rPr>
      </w:pPr>
    </w:p>
    <w:p w14:paraId="28633236" w14:textId="0089FD7D" w:rsidR="00973AAE" w:rsidRDefault="00973AAE" w:rsidP="000D7DFF">
      <w:pPr>
        <w:rPr>
          <w:rFonts w:ascii="Arial" w:hAnsi="Arial" w:cs="Arial"/>
          <w:color w:val="202124"/>
          <w:shd w:val="clear" w:color="auto" w:fill="FFFFFF"/>
        </w:rPr>
      </w:pPr>
    </w:p>
    <w:p w14:paraId="00BAE99B" w14:textId="6AEE5BE8" w:rsidR="00973AAE" w:rsidRDefault="00973AAE" w:rsidP="000D7DFF">
      <w:pPr>
        <w:rPr>
          <w:rFonts w:ascii="Arial" w:hAnsi="Arial" w:cs="Arial"/>
          <w:color w:val="202124"/>
          <w:shd w:val="clear" w:color="auto" w:fill="FFFFFF"/>
        </w:rPr>
      </w:pPr>
      <w:r>
        <w:rPr>
          <w:noProof/>
        </w:rPr>
        <w:lastRenderedPageBreak/>
        <w:drawing>
          <wp:inline distT="0" distB="0" distL="0" distR="0" wp14:anchorId="00CE7EDF" wp14:editId="0CE5E77D">
            <wp:extent cx="5372100" cy="4543425"/>
            <wp:effectExtent l="0" t="0" r="0" b="9525"/>
            <wp:docPr id="9" name="Picture 9"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funnel chart&#10;&#10;Description automatically generated"/>
                    <pic:cNvPicPr/>
                  </pic:nvPicPr>
                  <pic:blipFill>
                    <a:blip r:embed="rId13"/>
                    <a:stretch>
                      <a:fillRect/>
                    </a:stretch>
                  </pic:blipFill>
                  <pic:spPr>
                    <a:xfrm>
                      <a:off x="0" y="0"/>
                      <a:ext cx="5372100" cy="4543425"/>
                    </a:xfrm>
                    <a:prstGeom prst="rect">
                      <a:avLst/>
                    </a:prstGeom>
                  </pic:spPr>
                </pic:pic>
              </a:graphicData>
            </a:graphic>
          </wp:inline>
        </w:drawing>
      </w:r>
    </w:p>
    <w:p w14:paraId="5548D325" w14:textId="1212AEC6" w:rsidR="00973AAE" w:rsidRDefault="00973AAE" w:rsidP="000D7DFF">
      <w:pPr>
        <w:rPr>
          <w:rFonts w:ascii="Arial" w:hAnsi="Arial" w:cs="Arial"/>
          <w:color w:val="202124"/>
          <w:shd w:val="clear" w:color="auto" w:fill="FFFFFF"/>
        </w:rPr>
      </w:pPr>
      <w:r w:rsidRPr="00973AAE">
        <w:rPr>
          <w:rFonts w:ascii="Arial" w:hAnsi="Arial" w:cs="Arial"/>
          <w:color w:val="202124"/>
          <w:shd w:val="clear" w:color="auto" w:fill="FFFFFF"/>
        </w:rPr>
        <w:t>The Integrated Single Electricity Market (ISEM) is the wholesale electricity market for the island of</w:t>
      </w:r>
      <w:r>
        <w:rPr>
          <w:rFonts w:ascii="Arial" w:hAnsi="Arial" w:cs="Arial"/>
          <w:color w:val="202124"/>
          <w:shd w:val="clear" w:color="auto" w:fill="FFFFFF"/>
        </w:rPr>
        <w:t xml:space="preserve"> </w:t>
      </w:r>
      <w:r w:rsidRPr="00973AAE">
        <w:rPr>
          <w:rFonts w:ascii="Arial" w:hAnsi="Arial" w:cs="Arial"/>
          <w:color w:val="202124"/>
          <w:shd w:val="clear" w:color="auto" w:fill="FFFFFF"/>
        </w:rPr>
        <w:t>Ireland.</w:t>
      </w:r>
      <w:r>
        <w:rPr>
          <w:rFonts w:ascii="Arial" w:hAnsi="Arial" w:cs="Arial"/>
          <w:color w:val="202124"/>
          <w:shd w:val="clear" w:color="auto" w:fill="FFFFFF"/>
        </w:rPr>
        <w:t xml:space="preserve"> </w:t>
      </w:r>
      <w:r w:rsidRPr="00973AAE">
        <w:rPr>
          <w:rFonts w:ascii="Arial" w:hAnsi="Arial" w:cs="Arial"/>
          <w:color w:val="202124"/>
          <w:shd w:val="clear" w:color="auto" w:fill="FFFFFF"/>
        </w:rPr>
        <w:t>The ISEM arrangements require all market participants to be responsible for delivering or consuming the amounts of energy that they have submitted into the market. Generators, wind farms and suppliers must all manage the exposure to volatile prices for imbalances in their energy in the market.</w:t>
      </w:r>
    </w:p>
    <w:p w14:paraId="71C7AE6E" w14:textId="7C4D48FC" w:rsidR="00A476FD" w:rsidRDefault="00A476FD" w:rsidP="000D7DFF">
      <w:pPr>
        <w:rPr>
          <w:rFonts w:ascii="Arial" w:hAnsi="Arial" w:cs="Arial"/>
          <w:color w:val="202124"/>
          <w:shd w:val="clear" w:color="auto" w:fill="FFFFFF"/>
        </w:rPr>
      </w:pPr>
      <w:r>
        <w:rPr>
          <w:noProof/>
        </w:rPr>
        <w:drawing>
          <wp:inline distT="0" distB="0" distL="0" distR="0" wp14:anchorId="3CE28E36" wp14:editId="2F982EEF">
            <wp:extent cx="5731510" cy="556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6895"/>
                    </a:xfrm>
                    <a:prstGeom prst="rect">
                      <a:avLst/>
                    </a:prstGeom>
                  </pic:spPr>
                </pic:pic>
              </a:graphicData>
            </a:graphic>
          </wp:inline>
        </w:drawing>
      </w:r>
    </w:p>
    <w:p w14:paraId="3BF5D44C" w14:textId="7B061C4A" w:rsidR="00A476FD" w:rsidRDefault="00A476FD" w:rsidP="000D7DFF">
      <w:pPr>
        <w:rPr>
          <w:rFonts w:ascii="Arial" w:hAnsi="Arial" w:cs="Arial"/>
          <w:color w:val="202124"/>
          <w:shd w:val="clear" w:color="auto" w:fill="FFFFFF"/>
        </w:rPr>
      </w:pPr>
      <w:r w:rsidRPr="00A476FD">
        <w:rPr>
          <w:rFonts w:ascii="Arial" w:hAnsi="Arial" w:cs="Arial"/>
          <w:color w:val="202124"/>
          <w:shd w:val="clear" w:color="auto" w:fill="FFFFFF"/>
        </w:rPr>
        <w:t xml:space="preserve">There are two </w:t>
      </w:r>
      <w:proofErr w:type="spellStart"/>
      <w:r w:rsidRPr="00A476FD">
        <w:rPr>
          <w:rFonts w:ascii="Arial" w:hAnsi="Arial" w:cs="Arial"/>
          <w:color w:val="202124"/>
          <w:shd w:val="clear" w:color="auto" w:fill="FFFFFF"/>
        </w:rPr>
        <w:t>ex ante</w:t>
      </w:r>
      <w:proofErr w:type="spellEnd"/>
      <w:r w:rsidRPr="00A476FD">
        <w:rPr>
          <w:rFonts w:ascii="Arial" w:hAnsi="Arial" w:cs="Arial"/>
          <w:color w:val="202124"/>
          <w:shd w:val="clear" w:color="auto" w:fill="FFFFFF"/>
        </w:rPr>
        <w:t xml:space="preserve"> </w:t>
      </w:r>
      <w:r>
        <w:rPr>
          <w:rFonts w:ascii="Arial" w:hAnsi="Arial" w:cs="Arial"/>
          <w:color w:val="202124"/>
          <w:shd w:val="clear" w:color="auto" w:fill="FFFFFF"/>
        </w:rPr>
        <w:t xml:space="preserve">(from before) </w:t>
      </w:r>
      <w:r w:rsidRPr="00A476FD">
        <w:rPr>
          <w:rFonts w:ascii="Arial" w:hAnsi="Arial" w:cs="Arial"/>
          <w:color w:val="202124"/>
          <w:shd w:val="clear" w:color="auto" w:fill="FFFFFF"/>
        </w:rPr>
        <w:t>markets for physical energy: the Day-Ahead Market (DAM) and the Intraday Market (IDM). the DAM closes the day before delivery and the</w:t>
      </w:r>
      <w:r w:rsidRPr="00A476FD">
        <w:rPr>
          <w:rFonts w:ascii="Arial" w:hAnsi="Arial" w:cs="Arial"/>
          <w:color w:val="202124"/>
          <w:shd w:val="clear" w:color="auto" w:fill="FFFFFF"/>
        </w:rPr>
        <w:t xml:space="preserve"> </w:t>
      </w:r>
      <w:r w:rsidRPr="00A476FD">
        <w:rPr>
          <w:rFonts w:ascii="Arial" w:hAnsi="Arial" w:cs="Arial"/>
          <w:color w:val="202124"/>
          <w:shd w:val="clear" w:color="auto" w:fill="FFFFFF"/>
        </w:rPr>
        <w:t>IDM operates in the interval between closure of the DAM and one hour before delivery.</w:t>
      </w:r>
    </w:p>
    <w:p w14:paraId="34784196" w14:textId="121A3CE7" w:rsidR="00397F1E" w:rsidRDefault="00397F1E" w:rsidP="000D7DFF">
      <w:pPr>
        <w:rPr>
          <w:rFonts w:ascii="Arial" w:hAnsi="Arial" w:cs="Arial"/>
          <w:color w:val="202124"/>
          <w:shd w:val="clear" w:color="auto" w:fill="FFFFFF"/>
        </w:rPr>
      </w:pPr>
      <w:r w:rsidRPr="00397F1E">
        <w:rPr>
          <w:rFonts w:ascii="Arial" w:hAnsi="Arial" w:cs="Arial"/>
          <w:color w:val="202124"/>
          <w:shd w:val="clear" w:color="auto" w:fill="FFFFFF"/>
        </w:rPr>
        <w:t>Before and into real time, the TSO calls on balancing services to keep the transmission system balanced (</w:t>
      </w:r>
      <w:proofErr w:type="gramStart"/>
      <w:r w:rsidRPr="00397F1E">
        <w:rPr>
          <w:rFonts w:ascii="Arial" w:hAnsi="Arial" w:cs="Arial"/>
          <w:color w:val="202124"/>
          <w:shd w:val="clear" w:color="auto" w:fill="FFFFFF"/>
        </w:rPr>
        <w:t>i.e.</w:t>
      </w:r>
      <w:proofErr w:type="gramEnd"/>
      <w:r w:rsidRPr="00397F1E">
        <w:rPr>
          <w:rFonts w:ascii="Arial" w:hAnsi="Arial" w:cs="Arial"/>
          <w:color w:val="202124"/>
          <w:shd w:val="clear" w:color="auto" w:fill="FFFFFF"/>
        </w:rPr>
        <w:t xml:space="preserve"> energy supply = energy demand). Energy balancing services are offered into the </w:t>
      </w:r>
      <w:r w:rsidRPr="00397F1E">
        <w:rPr>
          <w:rFonts w:ascii="Arial" w:hAnsi="Arial" w:cs="Arial"/>
          <w:b/>
          <w:bCs/>
          <w:color w:val="202124"/>
          <w:shd w:val="clear" w:color="auto" w:fill="FFFFFF"/>
        </w:rPr>
        <w:t>Balancing Market</w:t>
      </w:r>
      <w:r w:rsidRPr="00397F1E">
        <w:rPr>
          <w:rFonts w:ascii="Arial" w:hAnsi="Arial" w:cs="Arial"/>
          <w:color w:val="202124"/>
          <w:shd w:val="clear" w:color="auto" w:fill="FFFFFF"/>
        </w:rPr>
        <w:t xml:space="preserve"> (BM) by generators (energy producers) and suppliers (energy consumers).</w:t>
      </w:r>
    </w:p>
    <w:p w14:paraId="139F1275" w14:textId="5893D03E" w:rsidR="005863D4" w:rsidRDefault="005863D4" w:rsidP="000D7DFF">
      <w:pPr>
        <w:rPr>
          <w:rFonts w:ascii="Arial" w:hAnsi="Arial" w:cs="Arial"/>
          <w:color w:val="202124"/>
          <w:shd w:val="clear" w:color="auto" w:fill="FFFFFF"/>
        </w:rPr>
      </w:pPr>
    </w:p>
    <w:p w14:paraId="40211D05" w14:textId="05577C07" w:rsidR="00397F1E" w:rsidRDefault="00397F1E" w:rsidP="000D7DFF">
      <w:pPr>
        <w:rPr>
          <w:noProof/>
        </w:rPr>
      </w:pPr>
    </w:p>
    <w:p w14:paraId="083DBB3D" w14:textId="77777777" w:rsidR="00C03592" w:rsidRDefault="00C03592" w:rsidP="000D7DFF">
      <w:pPr>
        <w:rPr>
          <w:rFonts w:ascii="Arial" w:hAnsi="Arial" w:cs="Arial"/>
          <w:color w:val="202124"/>
          <w:shd w:val="clear" w:color="auto" w:fill="FFFFFF"/>
        </w:rPr>
      </w:pPr>
    </w:p>
    <w:p w14:paraId="5513C9E6" w14:textId="57AF7FC0" w:rsidR="00FD0038" w:rsidRPr="00FD0038" w:rsidRDefault="00FD0038" w:rsidP="00FD0038">
      <w:pPr>
        <w:shd w:val="clear" w:color="auto" w:fill="000000"/>
        <w:spacing w:after="0" w:line="240" w:lineRule="auto"/>
        <w:textAlignment w:val="baseline"/>
        <w:outlineLvl w:val="0"/>
        <w:rPr>
          <w:rFonts w:ascii="Arial" w:eastAsia="Times New Roman" w:hAnsi="Arial" w:cs="Arial"/>
          <w:b/>
          <w:bCs/>
          <w:color w:val="FFFFFF"/>
          <w:spacing w:val="-7"/>
          <w:kern w:val="36"/>
          <w:sz w:val="48"/>
          <w:szCs w:val="48"/>
          <w:lang w:eastAsia="en-IE"/>
        </w:rPr>
      </w:pPr>
      <w:r>
        <w:rPr>
          <w:rFonts w:ascii="Arial" w:eastAsia="Times New Roman" w:hAnsi="Arial" w:cs="Arial"/>
          <w:b/>
          <w:bCs/>
          <w:color w:val="FFFFFF"/>
          <w:spacing w:val="-7"/>
          <w:kern w:val="36"/>
          <w:sz w:val="48"/>
          <w:szCs w:val="48"/>
          <w:lang w:eastAsia="en-IE"/>
        </w:rPr>
        <w:lastRenderedPageBreak/>
        <w:t xml:space="preserve">IEA </w:t>
      </w:r>
      <w:r w:rsidRPr="00FD0038">
        <w:rPr>
          <w:rFonts w:ascii="Arial" w:eastAsia="Times New Roman" w:hAnsi="Arial" w:cs="Arial"/>
          <w:b/>
          <w:bCs/>
          <w:color w:val="FFFFFF"/>
          <w:spacing w:val="-7"/>
          <w:kern w:val="36"/>
          <w:sz w:val="48"/>
          <w:szCs w:val="48"/>
          <w:lang w:eastAsia="en-IE"/>
        </w:rPr>
        <w:t>World Energy Investment 2020</w:t>
      </w:r>
    </w:p>
    <w:p w14:paraId="775CD3E9" w14:textId="77777777" w:rsidR="00FD0038" w:rsidRDefault="00FD0038" w:rsidP="000D7DFF">
      <w:pPr>
        <w:rPr>
          <w:rFonts w:ascii="Arial" w:hAnsi="Arial" w:cs="Arial"/>
          <w:color w:val="202124"/>
          <w:shd w:val="clear" w:color="auto" w:fill="FFFFFF"/>
        </w:rPr>
      </w:pPr>
    </w:p>
    <w:p w14:paraId="7CD95298" w14:textId="6892E38E" w:rsidR="00FD0038" w:rsidRDefault="00FD0038" w:rsidP="00FD0038">
      <w:pPr>
        <w:pStyle w:val="Heading4"/>
        <w:shd w:val="clear" w:color="auto" w:fill="FFFFFF"/>
        <w:spacing w:before="0"/>
        <w:textAlignment w:val="baseline"/>
        <w:rPr>
          <w:rFonts w:ascii="Arial" w:eastAsiaTheme="minorHAnsi" w:hAnsi="Arial" w:cs="Arial"/>
          <w:i w:val="0"/>
          <w:iCs w:val="0"/>
          <w:color w:val="202124"/>
          <w:shd w:val="clear" w:color="auto" w:fill="FFFFFF"/>
        </w:rPr>
      </w:pPr>
      <w:r w:rsidRPr="00FD0038">
        <w:rPr>
          <w:rFonts w:ascii="Arial" w:eastAsiaTheme="minorHAnsi" w:hAnsi="Arial" w:cs="Arial"/>
          <w:i w:val="0"/>
          <w:iCs w:val="0"/>
          <w:color w:val="202124"/>
          <w:shd w:val="clear" w:color="auto" w:fill="FFFFFF"/>
        </w:rPr>
        <w:t xml:space="preserve">The worldwide economic shock caused by the Covid-19 pandemic is having widespread and </w:t>
      </w:r>
      <w:r>
        <w:rPr>
          <w:rFonts w:ascii="Arial" w:eastAsiaTheme="minorHAnsi" w:hAnsi="Arial" w:cs="Arial"/>
          <w:i w:val="0"/>
          <w:iCs w:val="0"/>
          <w:color w:val="202124"/>
          <w:shd w:val="clear" w:color="auto" w:fill="FFFFFF"/>
        </w:rPr>
        <w:t>fall by one-</w:t>
      </w:r>
      <w:r w:rsidRPr="00FD0038">
        <w:rPr>
          <w:rFonts w:ascii="Arial" w:eastAsiaTheme="minorHAnsi" w:hAnsi="Arial" w:cs="Arial"/>
          <w:i w:val="0"/>
          <w:iCs w:val="0"/>
          <w:color w:val="202124"/>
          <w:shd w:val="clear" w:color="auto" w:fill="FFFFFF"/>
        </w:rPr>
        <w:t>fifth in 2020 due to the Covid-19 pandemic</w:t>
      </w:r>
      <w:r w:rsidR="003F24F0">
        <w:rPr>
          <w:rFonts w:ascii="Arial" w:eastAsiaTheme="minorHAnsi" w:hAnsi="Arial" w:cs="Arial"/>
          <w:i w:val="0"/>
          <w:iCs w:val="0"/>
          <w:color w:val="202124"/>
          <w:shd w:val="clear" w:color="auto" w:fill="FFFFFF"/>
        </w:rPr>
        <w:t xml:space="preserve"> a</w:t>
      </w:r>
      <w:r w:rsidR="003F24F0" w:rsidRPr="003F24F0">
        <w:rPr>
          <w:rFonts w:ascii="Arial" w:eastAsiaTheme="minorHAnsi" w:hAnsi="Arial" w:cs="Arial"/>
          <w:i w:val="0"/>
          <w:iCs w:val="0"/>
          <w:color w:val="202124"/>
          <w:shd w:val="clear" w:color="auto" w:fill="FFFFFF"/>
        </w:rPr>
        <w:t>nd 2020 is now the largest decline in energy investment on record</w:t>
      </w:r>
      <w:r>
        <w:rPr>
          <w:rFonts w:ascii="Arial" w:eastAsiaTheme="minorHAnsi" w:hAnsi="Arial" w:cs="Arial"/>
          <w:i w:val="0"/>
          <w:iCs w:val="0"/>
          <w:color w:val="202124"/>
          <w:shd w:val="clear" w:color="auto" w:fill="FFFFFF"/>
        </w:rPr>
        <w:t xml:space="preserve">. </w:t>
      </w:r>
      <w:r w:rsidRPr="00FD0038">
        <w:rPr>
          <w:rFonts w:ascii="Arial" w:eastAsiaTheme="minorHAnsi" w:hAnsi="Arial" w:cs="Arial"/>
          <w:i w:val="0"/>
          <w:iCs w:val="0"/>
          <w:color w:val="202124"/>
          <w:shd w:val="clear" w:color="auto" w:fill="FFFFFF"/>
        </w:rPr>
        <w:t>Investment activity has been disrupted by lockdowns but also by a sharp fall in revenues, especially for oil</w:t>
      </w:r>
      <w:r w:rsidR="00F02BF5">
        <w:rPr>
          <w:rFonts w:ascii="Arial" w:eastAsiaTheme="minorHAnsi" w:hAnsi="Arial" w:cs="Arial"/>
          <w:i w:val="0"/>
          <w:iCs w:val="0"/>
          <w:color w:val="202124"/>
          <w:shd w:val="clear" w:color="auto" w:fill="FFFFFF"/>
        </w:rPr>
        <w:t xml:space="preserve"> </w:t>
      </w:r>
      <w:r w:rsidR="00F02BF5" w:rsidRPr="00F02BF5">
        <w:rPr>
          <w:rFonts w:ascii="Arial" w:eastAsiaTheme="minorHAnsi" w:hAnsi="Arial" w:cs="Arial"/>
          <w:i w:val="0"/>
          <w:iCs w:val="0"/>
          <w:color w:val="202124"/>
          <w:shd w:val="clear" w:color="auto" w:fill="FFFFFF"/>
        </w:rPr>
        <w:t xml:space="preserve">due to lower energy demand and prices, as well as more </w:t>
      </w:r>
      <w:r w:rsidR="00F02BF5">
        <w:rPr>
          <w:rFonts w:ascii="Arial" w:eastAsiaTheme="minorHAnsi" w:hAnsi="Arial" w:cs="Arial"/>
          <w:i w:val="0"/>
          <w:iCs w:val="0"/>
          <w:color w:val="202124"/>
          <w:shd w:val="clear" w:color="auto" w:fill="FFFFFF"/>
        </w:rPr>
        <w:t>in coming</w:t>
      </w:r>
      <w:r w:rsidR="00F02BF5" w:rsidRPr="00F02BF5">
        <w:rPr>
          <w:rFonts w:ascii="Arial" w:eastAsiaTheme="minorHAnsi" w:hAnsi="Arial" w:cs="Arial"/>
          <w:i w:val="0"/>
          <w:iCs w:val="0"/>
          <w:color w:val="202124"/>
          <w:shd w:val="clear" w:color="auto" w:fill="FFFFFF"/>
        </w:rPr>
        <w:t xml:space="preserve"> years ahead.</w:t>
      </w:r>
      <w:r w:rsidR="00BE0BD4">
        <w:rPr>
          <w:rFonts w:ascii="Arial" w:eastAsiaTheme="minorHAnsi" w:hAnsi="Arial" w:cs="Arial"/>
          <w:i w:val="0"/>
          <w:iCs w:val="0"/>
          <w:color w:val="202124"/>
          <w:shd w:val="clear" w:color="auto" w:fill="FFFFFF"/>
        </w:rPr>
        <w:t xml:space="preserve"> </w:t>
      </w:r>
    </w:p>
    <w:p w14:paraId="6630A875" w14:textId="77777777" w:rsidR="0065249F" w:rsidRPr="0065249F" w:rsidRDefault="0065249F" w:rsidP="0065249F"/>
    <w:tbl>
      <w:tblPr>
        <w:tblStyle w:val="TableGrid"/>
        <w:tblW w:w="0" w:type="auto"/>
        <w:tblLook w:val="04A0" w:firstRow="1" w:lastRow="0" w:firstColumn="1" w:lastColumn="0" w:noHBand="0" w:noVBand="1"/>
      </w:tblPr>
      <w:tblGrid>
        <w:gridCol w:w="3005"/>
        <w:gridCol w:w="3005"/>
        <w:gridCol w:w="3006"/>
      </w:tblGrid>
      <w:tr w:rsidR="0065249F" w14:paraId="338245F5" w14:textId="77777777" w:rsidTr="00C04B25">
        <w:tc>
          <w:tcPr>
            <w:tcW w:w="3005" w:type="dxa"/>
          </w:tcPr>
          <w:p w14:paraId="7D3CA691" w14:textId="77777777" w:rsidR="0065249F" w:rsidRDefault="0065249F" w:rsidP="00C04B25">
            <w:pPr>
              <w:rPr>
                <w:rFonts w:ascii="Arial" w:hAnsi="Arial" w:cs="Arial"/>
                <w:color w:val="202124"/>
                <w:shd w:val="clear" w:color="auto" w:fill="FFFFFF"/>
              </w:rPr>
            </w:pPr>
          </w:p>
        </w:tc>
        <w:tc>
          <w:tcPr>
            <w:tcW w:w="3005" w:type="dxa"/>
          </w:tcPr>
          <w:p w14:paraId="1ACEF600" w14:textId="77777777"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 xml:space="preserve">2019 </w:t>
            </w:r>
          </w:p>
        </w:tc>
        <w:tc>
          <w:tcPr>
            <w:tcW w:w="3006" w:type="dxa"/>
          </w:tcPr>
          <w:p w14:paraId="10C01214" w14:textId="77777777"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2020</w:t>
            </w:r>
          </w:p>
        </w:tc>
      </w:tr>
      <w:tr w:rsidR="0065249F" w14:paraId="0A1FD248" w14:textId="77777777" w:rsidTr="00C04B25">
        <w:tc>
          <w:tcPr>
            <w:tcW w:w="3005" w:type="dxa"/>
          </w:tcPr>
          <w:p w14:paraId="27C2A6CA" w14:textId="10CACBFD"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Oil</w:t>
            </w:r>
          </w:p>
        </w:tc>
        <w:tc>
          <w:tcPr>
            <w:tcW w:w="3005" w:type="dxa"/>
          </w:tcPr>
          <w:p w14:paraId="7185649A" w14:textId="0F7001B3"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3.6</w:t>
            </w:r>
            <w:r>
              <w:rPr>
                <w:rFonts w:ascii="Arial" w:hAnsi="Arial" w:cs="Arial"/>
                <w:color w:val="202124"/>
                <w:shd w:val="clear" w:color="auto" w:fill="FFFFFF"/>
              </w:rPr>
              <w:t xml:space="preserve"> </w:t>
            </w:r>
            <w:r>
              <w:rPr>
                <w:rFonts w:ascii="Arial" w:hAnsi="Arial" w:cs="Arial"/>
                <w:color w:val="202124"/>
                <w:shd w:val="clear" w:color="auto" w:fill="FFFFFF"/>
              </w:rPr>
              <w:t>Trillion</w:t>
            </w:r>
          </w:p>
        </w:tc>
        <w:tc>
          <w:tcPr>
            <w:tcW w:w="3006" w:type="dxa"/>
          </w:tcPr>
          <w:p w14:paraId="25716441" w14:textId="1506173D"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$2.</w:t>
            </w:r>
            <w:r w:rsidR="00FF3C94">
              <w:rPr>
                <w:rFonts w:ascii="Arial" w:hAnsi="Arial" w:cs="Arial"/>
                <w:color w:val="202124"/>
                <w:shd w:val="clear" w:color="auto" w:fill="FFFFFF"/>
              </w:rPr>
              <w:t>5</w:t>
            </w:r>
            <w:r>
              <w:rPr>
                <w:rFonts w:ascii="Arial" w:hAnsi="Arial" w:cs="Arial"/>
                <w:color w:val="202124"/>
                <w:shd w:val="clear" w:color="auto" w:fill="FFFFFF"/>
              </w:rPr>
              <w:t xml:space="preserve"> Trillion</w:t>
            </w:r>
          </w:p>
        </w:tc>
      </w:tr>
      <w:tr w:rsidR="0065249F" w14:paraId="11849F6A" w14:textId="77777777" w:rsidTr="00C04B25">
        <w:tc>
          <w:tcPr>
            <w:tcW w:w="3005" w:type="dxa"/>
          </w:tcPr>
          <w:p w14:paraId="01D2BE45" w14:textId="77777777"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Power sector</w:t>
            </w:r>
          </w:p>
        </w:tc>
        <w:tc>
          <w:tcPr>
            <w:tcW w:w="3005" w:type="dxa"/>
          </w:tcPr>
          <w:p w14:paraId="0CDA13B1" w14:textId="5BF5DAE8"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2.8</w:t>
            </w:r>
            <w:r>
              <w:rPr>
                <w:rFonts w:ascii="Arial" w:hAnsi="Arial" w:cs="Arial"/>
                <w:color w:val="202124"/>
                <w:shd w:val="clear" w:color="auto" w:fill="FFFFFF"/>
              </w:rPr>
              <w:t xml:space="preserve"> Trillion</w:t>
            </w:r>
          </w:p>
        </w:tc>
        <w:tc>
          <w:tcPr>
            <w:tcW w:w="3006" w:type="dxa"/>
          </w:tcPr>
          <w:p w14:paraId="253230BE" w14:textId="5C121628" w:rsidR="0065249F" w:rsidRDefault="0065249F" w:rsidP="00C04B25">
            <w:pPr>
              <w:rPr>
                <w:rFonts w:ascii="Arial" w:hAnsi="Arial" w:cs="Arial"/>
                <w:color w:val="202124"/>
                <w:shd w:val="clear" w:color="auto" w:fill="FFFFFF"/>
              </w:rPr>
            </w:pPr>
            <w:r>
              <w:rPr>
                <w:rFonts w:ascii="Arial" w:hAnsi="Arial" w:cs="Arial"/>
                <w:color w:val="202124"/>
                <w:shd w:val="clear" w:color="auto" w:fill="FFFFFF"/>
              </w:rPr>
              <w:t>$2.</w:t>
            </w:r>
            <w:r>
              <w:rPr>
                <w:rFonts w:ascii="Arial" w:hAnsi="Arial" w:cs="Arial"/>
                <w:color w:val="202124"/>
                <w:shd w:val="clear" w:color="auto" w:fill="FFFFFF"/>
              </w:rPr>
              <w:t>6</w:t>
            </w:r>
            <w:r>
              <w:rPr>
                <w:rFonts w:ascii="Arial" w:hAnsi="Arial" w:cs="Arial"/>
                <w:color w:val="202124"/>
                <w:shd w:val="clear" w:color="auto" w:fill="FFFFFF"/>
              </w:rPr>
              <w:t xml:space="preserve"> Trillion</w:t>
            </w:r>
          </w:p>
        </w:tc>
      </w:tr>
    </w:tbl>
    <w:p w14:paraId="404B43A7" w14:textId="77777777" w:rsidR="00132824" w:rsidRPr="00132824" w:rsidRDefault="00132824" w:rsidP="00132824"/>
    <w:p w14:paraId="557F0247" w14:textId="2E14E8D8" w:rsidR="00132824" w:rsidRPr="00132824" w:rsidRDefault="00132824" w:rsidP="00132824">
      <w:pPr>
        <w:pStyle w:val="Heading4"/>
        <w:shd w:val="clear" w:color="auto" w:fill="FFFFFF"/>
        <w:spacing w:before="0"/>
        <w:textAlignment w:val="baseline"/>
        <w:rPr>
          <w:rFonts w:ascii="Arial" w:hAnsi="Arial" w:cs="Arial"/>
          <w:color w:val="000000"/>
          <w:spacing w:val="-5"/>
        </w:rPr>
      </w:pPr>
      <w:r w:rsidRPr="00132824">
        <w:rPr>
          <w:rFonts w:ascii="Arial" w:eastAsiaTheme="minorHAnsi" w:hAnsi="Arial" w:cs="Arial"/>
          <w:i w:val="0"/>
          <w:iCs w:val="0"/>
          <w:color w:val="202124"/>
          <w:shd w:val="clear" w:color="auto" w:fill="FFFFFF"/>
        </w:rPr>
        <w:t>Fuel supply investments have been hit hardest in 2020 while utility-scale renewable power has been more resilient, but this crisis has touched every part of the energy sector</w:t>
      </w:r>
    </w:p>
    <w:p w14:paraId="56FA59DB" w14:textId="77777777" w:rsidR="00132824" w:rsidRDefault="00132824" w:rsidP="00FD0038">
      <w:pPr>
        <w:pStyle w:val="Heading4"/>
        <w:shd w:val="clear" w:color="auto" w:fill="FFFFFF"/>
        <w:spacing w:before="0"/>
        <w:textAlignment w:val="baseline"/>
        <w:rPr>
          <w:rFonts w:ascii="Arial" w:eastAsiaTheme="minorHAnsi" w:hAnsi="Arial" w:cs="Arial"/>
          <w:i w:val="0"/>
          <w:iCs w:val="0"/>
          <w:color w:val="202124"/>
          <w:shd w:val="clear" w:color="auto" w:fill="FFFFFF"/>
        </w:rPr>
      </w:pPr>
    </w:p>
    <w:p w14:paraId="6B02D0A8" w14:textId="55CF5495" w:rsidR="00132824" w:rsidRDefault="00132824" w:rsidP="00132824">
      <w:pPr>
        <w:pStyle w:val="Heading4"/>
        <w:shd w:val="clear" w:color="auto" w:fill="FFFFFF"/>
        <w:spacing w:before="0"/>
        <w:textAlignment w:val="baseline"/>
        <w:rPr>
          <w:rFonts w:ascii="Arial" w:eastAsiaTheme="minorHAnsi" w:hAnsi="Arial" w:cs="Arial"/>
          <w:i w:val="0"/>
          <w:iCs w:val="0"/>
          <w:color w:val="202124"/>
          <w:shd w:val="clear" w:color="auto" w:fill="FFFFFF"/>
        </w:rPr>
      </w:pPr>
      <w:r>
        <w:rPr>
          <w:rFonts w:ascii="Arial" w:eastAsiaTheme="minorHAnsi" w:hAnsi="Arial" w:cs="Arial"/>
          <w:i w:val="0"/>
          <w:iCs w:val="0"/>
          <w:color w:val="202124"/>
          <w:shd w:val="clear" w:color="auto" w:fill="FFFFFF"/>
        </w:rPr>
        <w:t>Upstream Oil &amp; Gas in 2019 $483 billion but declined to $322 billion in 2020.</w:t>
      </w:r>
      <w:r w:rsidRPr="00132824">
        <w:rPr>
          <w:rFonts w:ascii="Arial" w:eastAsiaTheme="minorHAnsi" w:hAnsi="Arial" w:cs="Arial"/>
          <w:i w:val="0"/>
          <w:iCs w:val="0"/>
          <w:color w:val="202124"/>
          <w:shd w:val="clear" w:color="auto" w:fill="FFFFFF"/>
        </w:rPr>
        <w:t xml:space="preserve"> </w:t>
      </w:r>
    </w:p>
    <w:p w14:paraId="2CEBD4C2" w14:textId="4891230E" w:rsidR="00132824" w:rsidRDefault="00132824" w:rsidP="00132824">
      <w:pPr>
        <w:pStyle w:val="Heading4"/>
        <w:shd w:val="clear" w:color="auto" w:fill="FFFFFF"/>
        <w:spacing w:before="0"/>
        <w:textAlignment w:val="baseline"/>
        <w:rPr>
          <w:rFonts w:ascii="Arial" w:eastAsiaTheme="minorHAnsi" w:hAnsi="Arial" w:cs="Arial"/>
          <w:i w:val="0"/>
          <w:iCs w:val="0"/>
          <w:color w:val="202124"/>
          <w:shd w:val="clear" w:color="auto" w:fill="FFFFFF"/>
        </w:rPr>
      </w:pPr>
      <w:r>
        <w:rPr>
          <w:rFonts w:ascii="Arial" w:eastAsiaTheme="minorHAnsi" w:hAnsi="Arial" w:cs="Arial"/>
          <w:i w:val="0"/>
          <w:iCs w:val="0"/>
          <w:color w:val="202124"/>
          <w:shd w:val="clear" w:color="auto" w:fill="FFFFFF"/>
        </w:rPr>
        <w:t>Down</w:t>
      </w:r>
      <w:r>
        <w:rPr>
          <w:rFonts w:ascii="Arial" w:eastAsiaTheme="minorHAnsi" w:hAnsi="Arial" w:cs="Arial"/>
          <w:i w:val="0"/>
          <w:iCs w:val="0"/>
          <w:color w:val="202124"/>
          <w:shd w:val="clear" w:color="auto" w:fill="FFFFFF"/>
        </w:rPr>
        <w:t>stream Oil &amp; Gas in 2019 $</w:t>
      </w:r>
      <w:r>
        <w:rPr>
          <w:rFonts w:ascii="Arial" w:eastAsiaTheme="minorHAnsi" w:hAnsi="Arial" w:cs="Arial"/>
          <w:i w:val="0"/>
          <w:iCs w:val="0"/>
          <w:color w:val="202124"/>
          <w:shd w:val="clear" w:color="auto" w:fill="FFFFFF"/>
        </w:rPr>
        <w:t>273</w:t>
      </w:r>
      <w:r>
        <w:rPr>
          <w:rFonts w:ascii="Arial" w:eastAsiaTheme="minorHAnsi" w:hAnsi="Arial" w:cs="Arial"/>
          <w:i w:val="0"/>
          <w:iCs w:val="0"/>
          <w:color w:val="202124"/>
          <w:shd w:val="clear" w:color="auto" w:fill="FFFFFF"/>
        </w:rPr>
        <w:t xml:space="preserve"> billion </w:t>
      </w:r>
      <w:r>
        <w:rPr>
          <w:rFonts w:ascii="Arial" w:eastAsiaTheme="minorHAnsi" w:hAnsi="Arial" w:cs="Arial"/>
          <w:i w:val="0"/>
          <w:iCs w:val="0"/>
          <w:color w:val="202124"/>
          <w:shd w:val="clear" w:color="auto" w:fill="FFFFFF"/>
        </w:rPr>
        <w:t>but</w:t>
      </w:r>
      <w:r>
        <w:rPr>
          <w:rFonts w:ascii="Arial" w:eastAsiaTheme="minorHAnsi" w:hAnsi="Arial" w:cs="Arial"/>
          <w:i w:val="0"/>
          <w:iCs w:val="0"/>
          <w:color w:val="202124"/>
          <w:shd w:val="clear" w:color="auto" w:fill="FFFFFF"/>
        </w:rPr>
        <w:t xml:space="preserve"> declined to $</w:t>
      </w:r>
      <w:r>
        <w:rPr>
          <w:rFonts w:ascii="Arial" w:eastAsiaTheme="minorHAnsi" w:hAnsi="Arial" w:cs="Arial"/>
          <w:i w:val="0"/>
          <w:iCs w:val="0"/>
          <w:color w:val="202124"/>
          <w:shd w:val="clear" w:color="auto" w:fill="FFFFFF"/>
        </w:rPr>
        <w:t xml:space="preserve">189 </w:t>
      </w:r>
      <w:r>
        <w:rPr>
          <w:rFonts w:ascii="Arial" w:eastAsiaTheme="minorHAnsi" w:hAnsi="Arial" w:cs="Arial"/>
          <w:i w:val="0"/>
          <w:iCs w:val="0"/>
          <w:color w:val="202124"/>
          <w:shd w:val="clear" w:color="auto" w:fill="FFFFFF"/>
        </w:rPr>
        <w:t>billion in 2020.</w:t>
      </w:r>
    </w:p>
    <w:p w14:paraId="66A8EB82" w14:textId="2AD93082" w:rsidR="00211A6B" w:rsidRPr="00FD0038" w:rsidRDefault="00211A6B" w:rsidP="00211A6B">
      <w:pPr>
        <w:pStyle w:val="Heading4"/>
        <w:shd w:val="clear" w:color="auto" w:fill="FFFFFF"/>
        <w:spacing w:before="0"/>
        <w:textAlignment w:val="baseline"/>
        <w:rPr>
          <w:rFonts w:ascii="Arial" w:eastAsiaTheme="minorHAnsi" w:hAnsi="Arial" w:cs="Arial"/>
          <w:i w:val="0"/>
          <w:iCs w:val="0"/>
          <w:color w:val="202124"/>
          <w:shd w:val="clear" w:color="auto" w:fill="FFFFFF"/>
        </w:rPr>
      </w:pPr>
      <w:r>
        <w:rPr>
          <w:rFonts w:ascii="Arial" w:eastAsiaTheme="minorHAnsi" w:hAnsi="Arial" w:cs="Arial"/>
          <w:i w:val="0"/>
          <w:iCs w:val="0"/>
          <w:color w:val="202124"/>
          <w:shd w:val="clear" w:color="auto" w:fill="FFFFFF"/>
        </w:rPr>
        <w:t>Renewable power</w:t>
      </w:r>
      <w:r>
        <w:rPr>
          <w:rFonts w:ascii="Arial" w:eastAsiaTheme="minorHAnsi" w:hAnsi="Arial" w:cs="Arial"/>
          <w:i w:val="0"/>
          <w:iCs w:val="0"/>
          <w:color w:val="202124"/>
          <w:shd w:val="clear" w:color="auto" w:fill="FFFFFF"/>
        </w:rPr>
        <w:t xml:space="preserve"> in 2019 $</w:t>
      </w:r>
      <w:r>
        <w:rPr>
          <w:rFonts w:ascii="Arial" w:eastAsiaTheme="minorHAnsi" w:hAnsi="Arial" w:cs="Arial"/>
          <w:i w:val="0"/>
          <w:iCs w:val="0"/>
          <w:color w:val="202124"/>
          <w:shd w:val="clear" w:color="auto" w:fill="FFFFFF"/>
        </w:rPr>
        <w:t>311</w:t>
      </w:r>
      <w:r>
        <w:rPr>
          <w:rFonts w:ascii="Arial" w:eastAsiaTheme="minorHAnsi" w:hAnsi="Arial" w:cs="Arial"/>
          <w:i w:val="0"/>
          <w:iCs w:val="0"/>
          <w:color w:val="202124"/>
          <w:shd w:val="clear" w:color="auto" w:fill="FFFFFF"/>
        </w:rPr>
        <w:t xml:space="preserve"> billion but declined to $</w:t>
      </w:r>
      <w:r>
        <w:rPr>
          <w:rFonts w:ascii="Arial" w:eastAsiaTheme="minorHAnsi" w:hAnsi="Arial" w:cs="Arial"/>
          <w:i w:val="0"/>
          <w:iCs w:val="0"/>
          <w:color w:val="202124"/>
          <w:shd w:val="clear" w:color="auto" w:fill="FFFFFF"/>
        </w:rPr>
        <w:t>281</w:t>
      </w:r>
      <w:r>
        <w:rPr>
          <w:rFonts w:ascii="Arial" w:eastAsiaTheme="minorHAnsi" w:hAnsi="Arial" w:cs="Arial"/>
          <w:i w:val="0"/>
          <w:iCs w:val="0"/>
          <w:color w:val="202124"/>
          <w:shd w:val="clear" w:color="auto" w:fill="FFFFFF"/>
        </w:rPr>
        <w:t xml:space="preserve"> billion in 2020.</w:t>
      </w:r>
    </w:p>
    <w:p w14:paraId="02FAB2C5" w14:textId="77777777" w:rsidR="00211A6B" w:rsidRPr="00211A6B" w:rsidRDefault="00211A6B" w:rsidP="00211A6B"/>
    <w:tbl>
      <w:tblPr>
        <w:tblStyle w:val="TableGrid"/>
        <w:tblW w:w="0" w:type="auto"/>
        <w:tblLook w:val="04A0" w:firstRow="1" w:lastRow="0" w:firstColumn="1" w:lastColumn="0" w:noHBand="0" w:noVBand="1"/>
      </w:tblPr>
      <w:tblGrid>
        <w:gridCol w:w="3005"/>
        <w:gridCol w:w="3005"/>
        <w:gridCol w:w="3006"/>
      </w:tblGrid>
      <w:tr w:rsidR="00211A6B" w14:paraId="725D69F4" w14:textId="77777777" w:rsidTr="00211A6B">
        <w:tc>
          <w:tcPr>
            <w:tcW w:w="3005" w:type="dxa"/>
          </w:tcPr>
          <w:p w14:paraId="6480661F" w14:textId="77777777" w:rsidR="00211A6B" w:rsidRDefault="00211A6B" w:rsidP="00132824">
            <w:pPr>
              <w:rPr>
                <w:rFonts w:ascii="Arial" w:hAnsi="Arial" w:cs="Arial"/>
                <w:color w:val="202124"/>
                <w:shd w:val="clear" w:color="auto" w:fill="FFFFFF"/>
              </w:rPr>
            </w:pPr>
          </w:p>
        </w:tc>
        <w:tc>
          <w:tcPr>
            <w:tcW w:w="3005" w:type="dxa"/>
          </w:tcPr>
          <w:p w14:paraId="2CDAA4A1" w14:textId="76602850" w:rsidR="00211A6B" w:rsidRDefault="00211A6B" w:rsidP="00132824">
            <w:pPr>
              <w:rPr>
                <w:rFonts w:ascii="Arial" w:hAnsi="Arial" w:cs="Arial"/>
                <w:color w:val="202124"/>
                <w:shd w:val="clear" w:color="auto" w:fill="FFFFFF"/>
              </w:rPr>
            </w:pPr>
            <w:r>
              <w:rPr>
                <w:rFonts w:ascii="Arial" w:hAnsi="Arial" w:cs="Arial"/>
                <w:color w:val="202124"/>
                <w:shd w:val="clear" w:color="auto" w:fill="FFFFFF"/>
              </w:rPr>
              <w:t xml:space="preserve">2019 </w:t>
            </w:r>
          </w:p>
        </w:tc>
        <w:tc>
          <w:tcPr>
            <w:tcW w:w="3006" w:type="dxa"/>
          </w:tcPr>
          <w:p w14:paraId="5AEA8782" w14:textId="23C544DC" w:rsidR="00211A6B" w:rsidRDefault="00211A6B" w:rsidP="00132824">
            <w:pPr>
              <w:rPr>
                <w:rFonts w:ascii="Arial" w:hAnsi="Arial" w:cs="Arial"/>
                <w:color w:val="202124"/>
                <w:shd w:val="clear" w:color="auto" w:fill="FFFFFF"/>
              </w:rPr>
            </w:pPr>
            <w:r>
              <w:rPr>
                <w:rFonts w:ascii="Arial" w:hAnsi="Arial" w:cs="Arial"/>
                <w:color w:val="202124"/>
                <w:shd w:val="clear" w:color="auto" w:fill="FFFFFF"/>
              </w:rPr>
              <w:t>2020</w:t>
            </w:r>
          </w:p>
        </w:tc>
      </w:tr>
      <w:tr w:rsidR="0065249F" w14:paraId="7A527436" w14:textId="77777777" w:rsidTr="00211A6B">
        <w:tc>
          <w:tcPr>
            <w:tcW w:w="3005" w:type="dxa"/>
          </w:tcPr>
          <w:p w14:paraId="04B6ACC8" w14:textId="72D5BCBD"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Fuel supply</w:t>
            </w:r>
          </w:p>
        </w:tc>
        <w:tc>
          <w:tcPr>
            <w:tcW w:w="3005" w:type="dxa"/>
          </w:tcPr>
          <w:p w14:paraId="6F0F20F0" w14:textId="492245C1"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 xml:space="preserve">854 </w:t>
            </w:r>
            <w:proofErr w:type="spellStart"/>
            <w:r>
              <w:rPr>
                <w:rFonts w:ascii="Arial" w:hAnsi="Arial" w:cs="Arial"/>
                <w:color w:val="202124"/>
                <w:shd w:val="clear" w:color="auto" w:fill="FFFFFF"/>
              </w:rPr>
              <w:t>Bilion</w:t>
            </w:r>
            <w:proofErr w:type="spellEnd"/>
          </w:p>
        </w:tc>
        <w:tc>
          <w:tcPr>
            <w:tcW w:w="3006" w:type="dxa"/>
          </w:tcPr>
          <w:p w14:paraId="326F7E71" w14:textId="247A7D6B"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595</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Bilion</w:t>
            </w:r>
            <w:proofErr w:type="spellEnd"/>
          </w:p>
        </w:tc>
      </w:tr>
      <w:tr w:rsidR="0065249F" w14:paraId="089A0743" w14:textId="77777777" w:rsidTr="00211A6B">
        <w:tc>
          <w:tcPr>
            <w:tcW w:w="3005" w:type="dxa"/>
          </w:tcPr>
          <w:p w14:paraId="4841408A" w14:textId="1A4836E5"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Power sector</w:t>
            </w:r>
          </w:p>
        </w:tc>
        <w:tc>
          <w:tcPr>
            <w:tcW w:w="3005" w:type="dxa"/>
          </w:tcPr>
          <w:p w14:paraId="0A55D0F8" w14:textId="1068B764"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 xml:space="preserve">757 </w:t>
            </w:r>
            <w:proofErr w:type="spellStart"/>
            <w:r>
              <w:rPr>
                <w:rFonts w:ascii="Arial" w:hAnsi="Arial" w:cs="Arial"/>
                <w:color w:val="202124"/>
                <w:shd w:val="clear" w:color="auto" w:fill="FFFFFF"/>
              </w:rPr>
              <w:t>Bilion</w:t>
            </w:r>
            <w:proofErr w:type="spellEnd"/>
          </w:p>
        </w:tc>
        <w:tc>
          <w:tcPr>
            <w:tcW w:w="3006" w:type="dxa"/>
          </w:tcPr>
          <w:p w14:paraId="193E5D9D" w14:textId="4480290B"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678</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Bilion</w:t>
            </w:r>
            <w:proofErr w:type="spellEnd"/>
          </w:p>
        </w:tc>
      </w:tr>
      <w:tr w:rsidR="0065249F" w14:paraId="62C4F219" w14:textId="77777777" w:rsidTr="00211A6B">
        <w:tc>
          <w:tcPr>
            <w:tcW w:w="3005" w:type="dxa"/>
          </w:tcPr>
          <w:p w14:paraId="181543CC" w14:textId="5C233144"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 xml:space="preserve">Energy end use and efficiency </w:t>
            </w:r>
          </w:p>
        </w:tc>
        <w:tc>
          <w:tcPr>
            <w:tcW w:w="3005" w:type="dxa"/>
          </w:tcPr>
          <w:p w14:paraId="02D6B444" w14:textId="5FED2FDE"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 xml:space="preserve">$280 </w:t>
            </w:r>
            <w:proofErr w:type="spellStart"/>
            <w:r>
              <w:rPr>
                <w:rFonts w:ascii="Arial" w:hAnsi="Arial" w:cs="Arial"/>
                <w:color w:val="202124"/>
                <w:shd w:val="clear" w:color="auto" w:fill="FFFFFF"/>
              </w:rPr>
              <w:t>Bilion</w:t>
            </w:r>
            <w:proofErr w:type="spellEnd"/>
          </w:p>
        </w:tc>
        <w:tc>
          <w:tcPr>
            <w:tcW w:w="3006" w:type="dxa"/>
          </w:tcPr>
          <w:p w14:paraId="01CE4F4D" w14:textId="0D6C59DE" w:rsidR="0065249F" w:rsidRDefault="0065249F" w:rsidP="0065249F">
            <w:pPr>
              <w:rPr>
                <w:rFonts w:ascii="Arial" w:hAnsi="Arial" w:cs="Arial"/>
                <w:color w:val="202124"/>
                <w:shd w:val="clear" w:color="auto" w:fill="FFFFFF"/>
              </w:rPr>
            </w:pPr>
            <w:r>
              <w:rPr>
                <w:rFonts w:ascii="Arial" w:hAnsi="Arial" w:cs="Arial"/>
                <w:color w:val="202124"/>
                <w:shd w:val="clear" w:color="auto" w:fill="FFFFFF"/>
              </w:rPr>
              <w:t>$2</w:t>
            </w:r>
            <w:r>
              <w:rPr>
                <w:rFonts w:ascii="Arial" w:hAnsi="Arial" w:cs="Arial"/>
                <w:color w:val="202124"/>
                <w:shd w:val="clear" w:color="auto" w:fill="FFFFFF"/>
              </w:rPr>
              <w:t>47</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Bilion</w:t>
            </w:r>
            <w:proofErr w:type="spellEnd"/>
          </w:p>
        </w:tc>
      </w:tr>
    </w:tbl>
    <w:p w14:paraId="6E4DDBDC" w14:textId="77777777" w:rsidR="00132824" w:rsidRPr="006A5A2A" w:rsidRDefault="00132824" w:rsidP="00132824">
      <w:pPr>
        <w:rPr>
          <w:rFonts w:ascii="Arial" w:hAnsi="Arial" w:cs="Arial"/>
          <w:color w:val="202124"/>
          <w:shd w:val="clear" w:color="auto" w:fill="FFFFFF"/>
        </w:rPr>
      </w:pPr>
    </w:p>
    <w:p w14:paraId="2DED9FE9" w14:textId="77777777" w:rsidR="00FF3C94" w:rsidRPr="00FF3C94" w:rsidRDefault="00FF3C94" w:rsidP="00FF3C94">
      <w:pPr>
        <w:pStyle w:val="Heading4"/>
        <w:shd w:val="clear" w:color="auto" w:fill="FFFFFF"/>
        <w:spacing w:before="0"/>
        <w:textAlignment w:val="baseline"/>
        <w:rPr>
          <w:rFonts w:ascii="Arial" w:eastAsiaTheme="minorHAnsi" w:hAnsi="Arial" w:cs="Arial"/>
          <w:i w:val="0"/>
          <w:iCs w:val="0"/>
          <w:color w:val="202124"/>
          <w:shd w:val="clear" w:color="auto" w:fill="FFFFFF"/>
        </w:rPr>
      </w:pPr>
      <w:r w:rsidRPr="00FF3C94">
        <w:rPr>
          <w:rFonts w:ascii="Arial" w:eastAsiaTheme="minorHAnsi" w:hAnsi="Arial" w:cs="Arial"/>
          <w:i w:val="0"/>
          <w:iCs w:val="0"/>
          <w:color w:val="202124"/>
          <w:shd w:val="clear" w:color="auto" w:fill="FFFFFF"/>
        </w:rPr>
        <w:t>Energy should be in the front line of the world’s push for sustainable development, but the investment data reveal a harsher reality</w:t>
      </w:r>
    </w:p>
    <w:p w14:paraId="7B2ED51D" w14:textId="3BF86867" w:rsidR="00FD0038" w:rsidRPr="00FD0038" w:rsidRDefault="00FD0038" w:rsidP="00FD0038">
      <w:pPr>
        <w:pStyle w:val="Heading4"/>
        <w:shd w:val="clear" w:color="auto" w:fill="FFFFFF"/>
        <w:spacing w:before="0"/>
        <w:textAlignment w:val="baseline"/>
        <w:rPr>
          <w:rFonts w:ascii="Arial" w:eastAsiaTheme="minorHAnsi" w:hAnsi="Arial" w:cs="Arial"/>
          <w:i w:val="0"/>
          <w:iCs w:val="0"/>
          <w:color w:val="2021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FF3C94" w14:paraId="0DB2B55E" w14:textId="77777777" w:rsidTr="00C04B25">
        <w:tc>
          <w:tcPr>
            <w:tcW w:w="3005" w:type="dxa"/>
          </w:tcPr>
          <w:p w14:paraId="08A49989" w14:textId="10291A33" w:rsidR="00FF3C94" w:rsidRPr="00FF3C94" w:rsidRDefault="00FF3C94" w:rsidP="00FF3C94">
            <w:pPr>
              <w:pStyle w:val="Heading3"/>
              <w:shd w:val="clear" w:color="auto" w:fill="FFFFFF"/>
              <w:spacing w:before="0"/>
              <w:ind w:right="900"/>
              <w:textAlignment w:val="baseline"/>
              <w:rPr>
                <w:rFonts w:ascii="Arial" w:hAnsi="Arial" w:cs="Arial"/>
                <w:color w:val="000000"/>
                <w:spacing w:val="-2"/>
              </w:rPr>
            </w:pPr>
            <w:r>
              <w:rPr>
                <w:rFonts w:ascii="Arial" w:hAnsi="Arial" w:cs="Arial"/>
                <w:b/>
                <w:bCs/>
                <w:color w:val="000000"/>
                <w:spacing w:val="-2"/>
              </w:rPr>
              <w:t>global GDP</w:t>
            </w:r>
            <w:r w:rsidR="00C9304B">
              <w:rPr>
                <w:rFonts w:ascii="Arial" w:hAnsi="Arial" w:cs="Arial"/>
                <w:b/>
                <w:bCs/>
                <w:color w:val="000000"/>
                <w:spacing w:val="-2"/>
              </w:rPr>
              <w:t xml:space="preserve"> as a sector</w:t>
            </w:r>
          </w:p>
        </w:tc>
        <w:tc>
          <w:tcPr>
            <w:tcW w:w="3005" w:type="dxa"/>
          </w:tcPr>
          <w:p w14:paraId="2DA2DF4F" w14:textId="77777777"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 xml:space="preserve">2019 </w:t>
            </w:r>
          </w:p>
        </w:tc>
        <w:tc>
          <w:tcPr>
            <w:tcW w:w="3006" w:type="dxa"/>
          </w:tcPr>
          <w:p w14:paraId="5C5D9890" w14:textId="77777777"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2020</w:t>
            </w:r>
          </w:p>
        </w:tc>
      </w:tr>
      <w:tr w:rsidR="00FF3C94" w14:paraId="71F26D71" w14:textId="77777777" w:rsidTr="00C04B25">
        <w:tc>
          <w:tcPr>
            <w:tcW w:w="3005" w:type="dxa"/>
          </w:tcPr>
          <w:p w14:paraId="1BE47D97" w14:textId="77777777"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Fuel supply</w:t>
            </w:r>
          </w:p>
        </w:tc>
        <w:tc>
          <w:tcPr>
            <w:tcW w:w="3005" w:type="dxa"/>
          </w:tcPr>
          <w:p w14:paraId="27B2C44D" w14:textId="21CA5F24"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1%</w:t>
            </w:r>
          </w:p>
        </w:tc>
        <w:tc>
          <w:tcPr>
            <w:tcW w:w="3006" w:type="dxa"/>
          </w:tcPr>
          <w:p w14:paraId="10218B87" w14:textId="3341F3A5"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0.</w:t>
            </w:r>
            <w:r>
              <w:rPr>
                <w:rFonts w:ascii="Arial" w:hAnsi="Arial" w:cs="Arial"/>
                <w:color w:val="202124"/>
                <w:shd w:val="clear" w:color="auto" w:fill="FFFFFF"/>
              </w:rPr>
              <w:t>7</w:t>
            </w:r>
            <w:r>
              <w:rPr>
                <w:rFonts w:ascii="Arial" w:hAnsi="Arial" w:cs="Arial"/>
                <w:color w:val="202124"/>
                <w:shd w:val="clear" w:color="auto" w:fill="FFFFFF"/>
              </w:rPr>
              <w:t>%</w:t>
            </w:r>
          </w:p>
        </w:tc>
      </w:tr>
      <w:tr w:rsidR="00FF3C94" w14:paraId="0418ADAD" w14:textId="77777777" w:rsidTr="00C04B25">
        <w:tc>
          <w:tcPr>
            <w:tcW w:w="3005" w:type="dxa"/>
          </w:tcPr>
          <w:p w14:paraId="7C5D791D" w14:textId="77777777"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Power sector</w:t>
            </w:r>
          </w:p>
        </w:tc>
        <w:tc>
          <w:tcPr>
            <w:tcW w:w="3005" w:type="dxa"/>
          </w:tcPr>
          <w:p w14:paraId="28FC517C" w14:textId="7A728D81"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0.9%</w:t>
            </w:r>
          </w:p>
        </w:tc>
        <w:tc>
          <w:tcPr>
            <w:tcW w:w="3006" w:type="dxa"/>
          </w:tcPr>
          <w:p w14:paraId="72CED6F0" w14:textId="530DEAC5"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0.</w:t>
            </w:r>
            <w:r>
              <w:rPr>
                <w:rFonts w:ascii="Arial" w:hAnsi="Arial" w:cs="Arial"/>
                <w:color w:val="202124"/>
                <w:shd w:val="clear" w:color="auto" w:fill="FFFFFF"/>
              </w:rPr>
              <w:t>8</w:t>
            </w:r>
            <w:r>
              <w:rPr>
                <w:rFonts w:ascii="Arial" w:hAnsi="Arial" w:cs="Arial"/>
                <w:color w:val="202124"/>
                <w:shd w:val="clear" w:color="auto" w:fill="FFFFFF"/>
              </w:rPr>
              <w:t>%</w:t>
            </w:r>
          </w:p>
        </w:tc>
      </w:tr>
      <w:tr w:rsidR="00FF3C94" w14:paraId="7D44FA54" w14:textId="77777777" w:rsidTr="00C04B25">
        <w:tc>
          <w:tcPr>
            <w:tcW w:w="3005" w:type="dxa"/>
          </w:tcPr>
          <w:p w14:paraId="41CB7C52" w14:textId="4FB8CA57"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 xml:space="preserve">Energy use and efficiency </w:t>
            </w:r>
          </w:p>
        </w:tc>
        <w:tc>
          <w:tcPr>
            <w:tcW w:w="3005" w:type="dxa"/>
          </w:tcPr>
          <w:p w14:paraId="366D31A7" w14:textId="3474F464"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0.3%</w:t>
            </w:r>
          </w:p>
        </w:tc>
        <w:tc>
          <w:tcPr>
            <w:tcW w:w="3006" w:type="dxa"/>
          </w:tcPr>
          <w:p w14:paraId="1616A1AC" w14:textId="5D7ECC93" w:rsidR="00FF3C94" w:rsidRDefault="00FF3C94" w:rsidP="00C04B25">
            <w:pPr>
              <w:rPr>
                <w:rFonts w:ascii="Arial" w:hAnsi="Arial" w:cs="Arial"/>
                <w:color w:val="202124"/>
                <w:shd w:val="clear" w:color="auto" w:fill="FFFFFF"/>
              </w:rPr>
            </w:pPr>
            <w:r>
              <w:rPr>
                <w:rFonts w:ascii="Arial" w:hAnsi="Arial" w:cs="Arial"/>
                <w:color w:val="202124"/>
                <w:shd w:val="clear" w:color="auto" w:fill="FFFFFF"/>
              </w:rPr>
              <w:t>0.3%</w:t>
            </w:r>
          </w:p>
        </w:tc>
      </w:tr>
    </w:tbl>
    <w:p w14:paraId="084D0CFE" w14:textId="0D6076F6" w:rsidR="00397F1E" w:rsidRDefault="00397F1E" w:rsidP="000D7DFF">
      <w:pPr>
        <w:rPr>
          <w:rFonts w:ascii="Arial" w:hAnsi="Arial" w:cs="Arial"/>
          <w:color w:val="202124"/>
          <w:shd w:val="clear" w:color="auto" w:fill="FFFFFF"/>
        </w:rPr>
      </w:pPr>
    </w:p>
    <w:p w14:paraId="48C06E65" w14:textId="1957E6EB" w:rsidR="006F316B" w:rsidRDefault="006F316B" w:rsidP="000D7DFF">
      <w:pPr>
        <w:rPr>
          <w:rFonts w:ascii="Arial" w:hAnsi="Arial" w:cs="Arial"/>
          <w:color w:val="202124"/>
          <w:shd w:val="clear" w:color="auto" w:fill="FFFFFF"/>
        </w:rPr>
      </w:pPr>
    </w:p>
    <w:p w14:paraId="5C42911F" w14:textId="00C6449B" w:rsidR="006F316B" w:rsidRDefault="006F316B" w:rsidP="000D7DFF">
      <w:pPr>
        <w:rPr>
          <w:rFonts w:ascii="Arial" w:hAnsi="Arial" w:cs="Arial"/>
          <w:color w:val="202124"/>
          <w:shd w:val="clear" w:color="auto" w:fill="FFFFFF"/>
        </w:rPr>
      </w:pPr>
    </w:p>
    <w:p w14:paraId="5142A8D4" w14:textId="0553A18A" w:rsidR="006F316B" w:rsidRDefault="006F316B" w:rsidP="000D7DFF">
      <w:pPr>
        <w:rPr>
          <w:rFonts w:ascii="Arial" w:hAnsi="Arial" w:cs="Arial"/>
          <w:color w:val="202124"/>
          <w:shd w:val="clear" w:color="auto" w:fill="FFFFFF"/>
        </w:rPr>
      </w:pPr>
    </w:p>
    <w:p w14:paraId="7468E5E0" w14:textId="77777777" w:rsidR="006F316B" w:rsidRDefault="006F316B" w:rsidP="000D7DFF">
      <w:pPr>
        <w:rPr>
          <w:rFonts w:ascii="Arial" w:hAnsi="Arial" w:cs="Arial"/>
          <w:color w:val="202124"/>
          <w:shd w:val="clear" w:color="auto" w:fill="FFFFFF"/>
        </w:rPr>
      </w:pPr>
    </w:p>
    <w:p w14:paraId="2C265AE3" w14:textId="3BA66086" w:rsidR="006F316B" w:rsidRDefault="006F316B" w:rsidP="000D7DFF">
      <w:pPr>
        <w:rPr>
          <w:rFonts w:ascii="Arial" w:hAnsi="Arial" w:cs="Arial"/>
          <w:color w:val="202124"/>
          <w:shd w:val="clear" w:color="auto" w:fill="FFFFFF"/>
        </w:rPr>
      </w:pPr>
    </w:p>
    <w:p w14:paraId="78D1BD22" w14:textId="2151B3FE" w:rsidR="005863D4" w:rsidRDefault="005863D4" w:rsidP="000D7DFF">
      <w:pPr>
        <w:rPr>
          <w:rFonts w:ascii="Arial" w:hAnsi="Arial" w:cs="Arial"/>
          <w:color w:val="202124"/>
          <w:shd w:val="clear" w:color="auto" w:fill="FFFFFF"/>
        </w:rPr>
      </w:pPr>
    </w:p>
    <w:p w14:paraId="5672EDD1" w14:textId="77777777" w:rsidR="005863D4" w:rsidRDefault="005863D4" w:rsidP="000D7DFF">
      <w:pPr>
        <w:rPr>
          <w:rFonts w:ascii="Arial" w:hAnsi="Arial" w:cs="Arial"/>
          <w:color w:val="202124"/>
          <w:shd w:val="clear" w:color="auto" w:fill="FFFFFF"/>
        </w:rPr>
      </w:pPr>
    </w:p>
    <w:p w14:paraId="5E676B7C" w14:textId="1396A0D5" w:rsidR="006F316B" w:rsidRPr="00FD0038" w:rsidRDefault="006F316B" w:rsidP="006F316B">
      <w:pPr>
        <w:shd w:val="clear" w:color="auto" w:fill="000000"/>
        <w:spacing w:after="0" w:line="240" w:lineRule="auto"/>
        <w:textAlignment w:val="baseline"/>
        <w:outlineLvl w:val="0"/>
        <w:rPr>
          <w:rFonts w:ascii="Arial" w:eastAsia="Times New Roman" w:hAnsi="Arial" w:cs="Arial"/>
          <w:b/>
          <w:bCs/>
          <w:color w:val="FFFFFF"/>
          <w:spacing w:val="-7"/>
          <w:kern w:val="36"/>
          <w:sz w:val="48"/>
          <w:szCs w:val="48"/>
          <w:lang w:eastAsia="en-IE"/>
        </w:rPr>
      </w:pPr>
      <w:r>
        <w:rPr>
          <w:rFonts w:ascii="Arial" w:eastAsia="Times New Roman" w:hAnsi="Arial" w:cs="Arial"/>
          <w:b/>
          <w:bCs/>
          <w:color w:val="FFFFFF"/>
          <w:spacing w:val="-7"/>
          <w:kern w:val="36"/>
          <w:sz w:val="48"/>
          <w:szCs w:val="48"/>
          <w:lang w:eastAsia="en-IE"/>
        </w:rPr>
        <w:lastRenderedPageBreak/>
        <w:t xml:space="preserve">IEA </w:t>
      </w:r>
      <w:r w:rsidRPr="00FD0038">
        <w:rPr>
          <w:rFonts w:ascii="Arial" w:eastAsia="Times New Roman" w:hAnsi="Arial" w:cs="Arial"/>
          <w:b/>
          <w:bCs/>
          <w:color w:val="FFFFFF"/>
          <w:spacing w:val="-7"/>
          <w:kern w:val="36"/>
          <w:sz w:val="48"/>
          <w:szCs w:val="48"/>
          <w:lang w:eastAsia="en-IE"/>
        </w:rPr>
        <w:t>World Energy Investment 202</w:t>
      </w:r>
      <w:r>
        <w:rPr>
          <w:rFonts w:ascii="Arial" w:eastAsia="Times New Roman" w:hAnsi="Arial" w:cs="Arial"/>
          <w:b/>
          <w:bCs/>
          <w:color w:val="FFFFFF"/>
          <w:spacing w:val="-7"/>
          <w:kern w:val="36"/>
          <w:sz w:val="48"/>
          <w:szCs w:val="48"/>
          <w:lang w:eastAsia="en-IE"/>
        </w:rPr>
        <w:t>1</w:t>
      </w:r>
    </w:p>
    <w:p w14:paraId="40936809" w14:textId="77777777" w:rsidR="006F316B" w:rsidRDefault="006F316B" w:rsidP="006F316B">
      <w:pPr>
        <w:rPr>
          <w:rFonts w:ascii="Arial" w:hAnsi="Arial" w:cs="Arial"/>
          <w:color w:val="202124"/>
          <w:shd w:val="clear" w:color="auto" w:fill="FFFFFF"/>
        </w:rPr>
      </w:pPr>
    </w:p>
    <w:p w14:paraId="6816D701" w14:textId="77777777" w:rsidR="00451615" w:rsidRDefault="004562C4" w:rsidP="004562C4">
      <w:pPr>
        <w:spacing w:after="0" w:line="240" w:lineRule="auto"/>
        <w:textAlignment w:val="baseline"/>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T</w:t>
      </w:r>
      <w:r w:rsidRPr="004562C4">
        <w:rPr>
          <w:rFonts w:ascii="Arial" w:eastAsia="Times New Roman" w:hAnsi="Arial" w:cs="Arial"/>
          <w:color w:val="000000"/>
          <w:sz w:val="24"/>
          <w:szCs w:val="24"/>
          <w:lang w:eastAsia="en-IE"/>
        </w:rPr>
        <w:t xml:space="preserve">he </w:t>
      </w:r>
      <w:r>
        <w:rPr>
          <w:rFonts w:ascii="Arial" w:eastAsia="Times New Roman" w:hAnsi="Arial" w:cs="Arial"/>
          <w:color w:val="000000"/>
          <w:sz w:val="24"/>
          <w:szCs w:val="24"/>
          <w:lang w:eastAsia="en-IE"/>
        </w:rPr>
        <w:t xml:space="preserve">2021 </w:t>
      </w:r>
      <w:r w:rsidRPr="004562C4">
        <w:rPr>
          <w:rFonts w:ascii="Arial" w:eastAsia="Times New Roman" w:hAnsi="Arial" w:cs="Arial"/>
          <w:color w:val="000000"/>
          <w:sz w:val="24"/>
          <w:szCs w:val="24"/>
          <w:lang w:eastAsia="en-IE"/>
        </w:rPr>
        <w:t>World Energy Investment report presents the latest data and analysis of how energy investment flows are recovering from the shock of the Covid-19 pandemic</w:t>
      </w:r>
      <w:r w:rsidR="00451615">
        <w:rPr>
          <w:rFonts w:ascii="Arial" w:eastAsia="Times New Roman" w:hAnsi="Arial" w:cs="Arial"/>
          <w:color w:val="000000"/>
          <w:sz w:val="24"/>
          <w:szCs w:val="24"/>
          <w:lang w:eastAsia="en-IE"/>
        </w:rPr>
        <w:t>.</w:t>
      </w:r>
      <w:r w:rsidRPr="004562C4">
        <w:rPr>
          <w:rFonts w:ascii="Arial" w:eastAsia="Times New Roman" w:hAnsi="Arial" w:cs="Arial"/>
          <w:color w:val="000000"/>
          <w:sz w:val="24"/>
          <w:szCs w:val="24"/>
          <w:lang w:eastAsia="en-IE"/>
        </w:rPr>
        <w:t xml:space="preserve"> It examines how investors are assessing risks and opportunities across all areas of fuel and electricity supply, efficiency and research and development, against a backdrop of a recovery in global energy demand as well as strengthened pledges from governments and the private sector to address climate change.</w:t>
      </w:r>
      <w:r w:rsidRPr="004562C4">
        <w:rPr>
          <w:rFonts w:ascii="Arial" w:eastAsia="Times New Roman" w:hAnsi="Arial" w:cs="Arial"/>
          <w:color w:val="000000"/>
          <w:sz w:val="24"/>
          <w:szCs w:val="24"/>
          <w:lang w:eastAsia="en-IE"/>
        </w:rPr>
        <w:br/>
      </w:r>
      <w:r w:rsidRPr="004562C4">
        <w:rPr>
          <w:rFonts w:ascii="Arial" w:eastAsia="Times New Roman" w:hAnsi="Arial" w:cs="Arial"/>
          <w:color w:val="000000"/>
          <w:sz w:val="24"/>
          <w:szCs w:val="24"/>
          <w:lang w:eastAsia="en-IE"/>
        </w:rPr>
        <w:br/>
        <w:t xml:space="preserve">The report focuses on two key questions: </w:t>
      </w:r>
    </w:p>
    <w:p w14:paraId="5E3217A5" w14:textId="4F6A4B2C" w:rsidR="00451615" w:rsidRPr="00451615" w:rsidRDefault="004562C4" w:rsidP="00451615">
      <w:pPr>
        <w:pStyle w:val="ListParagraph"/>
        <w:numPr>
          <w:ilvl w:val="0"/>
          <w:numId w:val="1"/>
        </w:numPr>
        <w:spacing w:after="0" w:line="240" w:lineRule="auto"/>
        <w:textAlignment w:val="baseline"/>
        <w:rPr>
          <w:rFonts w:ascii="Arial" w:eastAsia="Times New Roman" w:hAnsi="Arial" w:cs="Arial"/>
          <w:color w:val="000000"/>
          <w:sz w:val="24"/>
          <w:szCs w:val="24"/>
          <w:lang w:eastAsia="en-IE"/>
        </w:rPr>
      </w:pPr>
      <w:r w:rsidRPr="00451615">
        <w:rPr>
          <w:rFonts w:ascii="Arial" w:eastAsia="Times New Roman" w:hAnsi="Arial" w:cs="Arial"/>
          <w:color w:val="000000"/>
          <w:sz w:val="24"/>
          <w:szCs w:val="24"/>
          <w:lang w:eastAsia="en-IE"/>
        </w:rPr>
        <w:t xml:space="preserve">whether the growing momentum among governments and investors to accelerate clean energy transitions is translating into an actual uptick in capital expenditures on clean energy projects </w:t>
      </w:r>
    </w:p>
    <w:p w14:paraId="535B1A7A" w14:textId="19835F76" w:rsidR="004562C4" w:rsidRPr="00451615" w:rsidRDefault="004562C4" w:rsidP="00451615">
      <w:pPr>
        <w:pStyle w:val="ListParagraph"/>
        <w:numPr>
          <w:ilvl w:val="0"/>
          <w:numId w:val="1"/>
        </w:numPr>
        <w:spacing w:after="0" w:line="240" w:lineRule="auto"/>
        <w:textAlignment w:val="baseline"/>
        <w:rPr>
          <w:rFonts w:ascii="Arial" w:eastAsia="Times New Roman" w:hAnsi="Arial" w:cs="Arial"/>
          <w:color w:val="000000"/>
          <w:sz w:val="24"/>
          <w:szCs w:val="24"/>
          <w:lang w:eastAsia="en-IE"/>
        </w:rPr>
      </w:pPr>
      <w:r w:rsidRPr="00451615">
        <w:rPr>
          <w:rFonts w:ascii="Arial" w:eastAsia="Times New Roman" w:hAnsi="Arial" w:cs="Arial"/>
          <w:color w:val="000000"/>
          <w:sz w:val="24"/>
          <w:szCs w:val="24"/>
          <w:lang w:eastAsia="en-IE"/>
        </w:rPr>
        <w:t xml:space="preserve">whether the energy investment response to the economic crisis caused by the Covid-19 pandemic will be broad-based or if some sectors, </w:t>
      </w:r>
      <w:proofErr w:type="gramStart"/>
      <w:r w:rsidRPr="00451615">
        <w:rPr>
          <w:rFonts w:ascii="Arial" w:eastAsia="Times New Roman" w:hAnsi="Arial" w:cs="Arial"/>
          <w:color w:val="000000"/>
          <w:sz w:val="24"/>
          <w:szCs w:val="24"/>
          <w:lang w:eastAsia="en-IE"/>
        </w:rPr>
        <w:t>geographies</w:t>
      </w:r>
      <w:proofErr w:type="gramEnd"/>
      <w:r w:rsidRPr="00451615">
        <w:rPr>
          <w:rFonts w:ascii="Arial" w:eastAsia="Times New Roman" w:hAnsi="Arial" w:cs="Arial"/>
          <w:color w:val="000000"/>
          <w:sz w:val="24"/>
          <w:szCs w:val="24"/>
          <w:lang w:eastAsia="en-IE"/>
        </w:rPr>
        <w:t xml:space="preserve"> and vulnerable parts of the world’s population will be left behind.</w:t>
      </w:r>
    </w:p>
    <w:p w14:paraId="36BB151D" w14:textId="3E02F461" w:rsidR="00451615" w:rsidRDefault="004562C4" w:rsidP="00451615">
      <w:pPr>
        <w:pStyle w:val="Heading4"/>
        <w:shd w:val="clear" w:color="auto" w:fill="FFFFFF"/>
        <w:spacing w:before="0"/>
        <w:textAlignment w:val="baseline"/>
        <w:rPr>
          <w:rFonts w:ascii="Arial" w:hAnsi="Arial" w:cs="Arial"/>
          <w:color w:val="000000"/>
          <w:spacing w:val="-5"/>
        </w:rPr>
      </w:pPr>
      <w:hyperlink r:id="rId15" w:history="1">
        <w:r w:rsidRPr="004562C4">
          <w:rPr>
            <w:rFonts w:ascii="inherit" w:eastAsia="Times New Roman" w:hAnsi="inherit" w:cs="Arial"/>
            <w:color w:val="0000FF"/>
            <w:sz w:val="24"/>
            <w:szCs w:val="24"/>
            <w:lang w:eastAsia="en-IE"/>
          </w:rPr>
          <w:br/>
        </w:r>
      </w:hyperlink>
      <w:r w:rsidR="00451615" w:rsidRPr="00451615">
        <w:rPr>
          <w:rFonts w:ascii="Arial" w:eastAsiaTheme="minorHAnsi" w:hAnsi="Arial" w:cs="Arial"/>
          <w:i w:val="0"/>
          <w:iCs w:val="0"/>
          <w:color w:val="202124"/>
          <w:shd w:val="clear" w:color="auto" w:fill="FFFFFF"/>
        </w:rPr>
        <w:t>Global energy investment rebound by around 10% in 2021, reversing most of the drop caused by the pandemic</w:t>
      </w:r>
    </w:p>
    <w:p w14:paraId="2B58A6F3" w14:textId="4225C4FD" w:rsidR="006F316B" w:rsidRPr="0065249F" w:rsidRDefault="006F316B" w:rsidP="004562C4"/>
    <w:tbl>
      <w:tblPr>
        <w:tblStyle w:val="TableGrid"/>
        <w:tblW w:w="0" w:type="auto"/>
        <w:tblLook w:val="04A0" w:firstRow="1" w:lastRow="0" w:firstColumn="1" w:lastColumn="0" w:noHBand="0" w:noVBand="1"/>
      </w:tblPr>
      <w:tblGrid>
        <w:gridCol w:w="2477"/>
        <w:gridCol w:w="2254"/>
        <w:gridCol w:w="2030"/>
        <w:gridCol w:w="2255"/>
      </w:tblGrid>
      <w:tr w:rsidR="00451615" w14:paraId="564FC0BA" w14:textId="77777777" w:rsidTr="00451615">
        <w:tc>
          <w:tcPr>
            <w:tcW w:w="2477" w:type="dxa"/>
          </w:tcPr>
          <w:p w14:paraId="03096FF4" w14:textId="77777777" w:rsidR="00451615" w:rsidRDefault="00451615" w:rsidP="00451615">
            <w:pPr>
              <w:rPr>
                <w:rFonts w:ascii="Arial" w:hAnsi="Arial" w:cs="Arial"/>
                <w:color w:val="202124"/>
                <w:shd w:val="clear" w:color="auto" w:fill="FFFFFF"/>
              </w:rPr>
            </w:pPr>
          </w:p>
        </w:tc>
        <w:tc>
          <w:tcPr>
            <w:tcW w:w="2254" w:type="dxa"/>
          </w:tcPr>
          <w:p w14:paraId="1C18958C" w14:textId="27092648"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 xml:space="preserve">2019 </w:t>
            </w:r>
            <w:r w:rsidR="0030440F">
              <w:rPr>
                <w:rFonts w:ascii="Arial" w:hAnsi="Arial" w:cs="Arial"/>
                <w:color w:val="202124"/>
                <w:shd w:val="clear" w:color="auto" w:fill="FFFFFF"/>
              </w:rPr>
              <w:t>(</w:t>
            </w:r>
            <w:proofErr w:type="spellStart"/>
            <w:r w:rsidR="0030440F" w:rsidRPr="002020E5">
              <w:rPr>
                <w:rFonts w:ascii="Arial" w:hAnsi="Arial" w:cs="Arial"/>
                <w:color w:val="202124"/>
                <w:shd w:val="clear" w:color="auto" w:fill="FFFFFF"/>
              </w:rPr>
              <w:t>Bilion</w:t>
            </w:r>
            <w:proofErr w:type="spellEnd"/>
            <w:r w:rsidR="0030440F">
              <w:rPr>
                <w:rFonts w:ascii="Arial" w:hAnsi="Arial" w:cs="Arial"/>
                <w:color w:val="202124"/>
                <w:shd w:val="clear" w:color="auto" w:fill="FFFFFF"/>
              </w:rPr>
              <w:t>)</w:t>
            </w:r>
          </w:p>
        </w:tc>
        <w:tc>
          <w:tcPr>
            <w:tcW w:w="2030" w:type="dxa"/>
          </w:tcPr>
          <w:p w14:paraId="38FE3E04" w14:textId="4EE2EE64"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2020</w:t>
            </w:r>
            <w:r w:rsidR="0030440F">
              <w:rPr>
                <w:rFonts w:ascii="Arial" w:hAnsi="Arial" w:cs="Arial"/>
                <w:color w:val="202124"/>
                <w:shd w:val="clear" w:color="auto" w:fill="FFFFFF"/>
              </w:rPr>
              <w:t xml:space="preserve"> </w:t>
            </w:r>
            <w:r w:rsidR="0030440F">
              <w:rPr>
                <w:rFonts w:ascii="Arial" w:hAnsi="Arial" w:cs="Arial"/>
                <w:color w:val="202124"/>
                <w:shd w:val="clear" w:color="auto" w:fill="FFFFFF"/>
              </w:rPr>
              <w:t>(</w:t>
            </w:r>
            <w:proofErr w:type="spellStart"/>
            <w:r w:rsidR="0030440F" w:rsidRPr="002020E5">
              <w:rPr>
                <w:rFonts w:ascii="Arial" w:hAnsi="Arial" w:cs="Arial"/>
                <w:color w:val="202124"/>
                <w:shd w:val="clear" w:color="auto" w:fill="FFFFFF"/>
              </w:rPr>
              <w:t>Bilion</w:t>
            </w:r>
            <w:proofErr w:type="spellEnd"/>
            <w:r w:rsidR="0030440F">
              <w:rPr>
                <w:rFonts w:ascii="Arial" w:hAnsi="Arial" w:cs="Arial"/>
                <w:color w:val="202124"/>
                <w:shd w:val="clear" w:color="auto" w:fill="FFFFFF"/>
              </w:rPr>
              <w:t>)</w:t>
            </w:r>
          </w:p>
        </w:tc>
        <w:tc>
          <w:tcPr>
            <w:tcW w:w="2255" w:type="dxa"/>
          </w:tcPr>
          <w:p w14:paraId="762DCE49" w14:textId="72E0565B"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202</w:t>
            </w:r>
            <w:r>
              <w:rPr>
                <w:rFonts w:ascii="Arial" w:hAnsi="Arial" w:cs="Arial"/>
                <w:color w:val="202124"/>
                <w:shd w:val="clear" w:color="auto" w:fill="FFFFFF"/>
              </w:rPr>
              <w:t>1</w:t>
            </w:r>
            <w:r w:rsidR="0030440F">
              <w:rPr>
                <w:rFonts w:ascii="Arial" w:hAnsi="Arial" w:cs="Arial"/>
                <w:color w:val="202124"/>
                <w:shd w:val="clear" w:color="auto" w:fill="FFFFFF"/>
              </w:rPr>
              <w:t>(</w:t>
            </w:r>
            <w:proofErr w:type="spellStart"/>
            <w:r w:rsidR="0030440F" w:rsidRPr="002020E5">
              <w:rPr>
                <w:rFonts w:ascii="Arial" w:hAnsi="Arial" w:cs="Arial"/>
                <w:color w:val="202124"/>
                <w:shd w:val="clear" w:color="auto" w:fill="FFFFFF"/>
              </w:rPr>
              <w:t>Bilion</w:t>
            </w:r>
            <w:proofErr w:type="spellEnd"/>
            <w:r w:rsidR="0030440F">
              <w:rPr>
                <w:rFonts w:ascii="Arial" w:hAnsi="Arial" w:cs="Arial"/>
                <w:color w:val="202124"/>
                <w:shd w:val="clear" w:color="auto" w:fill="FFFFFF"/>
              </w:rPr>
              <w:t>)</w:t>
            </w:r>
          </w:p>
        </w:tc>
      </w:tr>
      <w:tr w:rsidR="0030440F" w14:paraId="2D12FD7E" w14:textId="77777777" w:rsidTr="00451615">
        <w:tc>
          <w:tcPr>
            <w:tcW w:w="2477" w:type="dxa"/>
          </w:tcPr>
          <w:p w14:paraId="4CA1834D" w14:textId="6D3FD384" w:rsidR="0030440F" w:rsidRDefault="0030440F" w:rsidP="0030440F">
            <w:pPr>
              <w:rPr>
                <w:rFonts w:ascii="Arial" w:hAnsi="Arial" w:cs="Arial"/>
                <w:color w:val="202124"/>
                <w:shd w:val="clear" w:color="auto" w:fill="FFFFFF"/>
              </w:rPr>
            </w:pPr>
            <w:r>
              <w:rPr>
                <w:rFonts w:ascii="Arial" w:hAnsi="Arial" w:cs="Arial"/>
                <w:color w:val="202124"/>
                <w:shd w:val="clear" w:color="auto" w:fill="FFFFFF"/>
              </w:rPr>
              <w:t>Fuel production</w:t>
            </w:r>
          </w:p>
        </w:tc>
        <w:tc>
          <w:tcPr>
            <w:tcW w:w="2254" w:type="dxa"/>
          </w:tcPr>
          <w:p w14:paraId="6B36F1BE" w14:textId="01B74846" w:rsidR="0030440F" w:rsidRDefault="0030440F" w:rsidP="0030440F">
            <w:pPr>
              <w:rPr>
                <w:rFonts w:ascii="Arial" w:hAnsi="Arial" w:cs="Arial"/>
                <w:color w:val="202124"/>
                <w:shd w:val="clear" w:color="auto" w:fill="FFFFFF"/>
              </w:rPr>
            </w:pPr>
            <w:r w:rsidRPr="002020E5">
              <w:rPr>
                <w:rFonts w:ascii="Arial" w:hAnsi="Arial" w:cs="Arial"/>
                <w:color w:val="202124"/>
                <w:shd w:val="clear" w:color="auto" w:fill="FFFFFF"/>
              </w:rPr>
              <w:t>$5</w:t>
            </w:r>
            <w:r>
              <w:rPr>
                <w:rFonts w:ascii="Arial" w:hAnsi="Arial" w:cs="Arial"/>
                <w:color w:val="202124"/>
                <w:shd w:val="clear" w:color="auto" w:fill="FFFFFF"/>
              </w:rPr>
              <w:t>83</w:t>
            </w:r>
            <w:r w:rsidRPr="002020E5">
              <w:rPr>
                <w:rFonts w:ascii="Arial" w:hAnsi="Arial" w:cs="Arial"/>
                <w:color w:val="202124"/>
                <w:shd w:val="clear" w:color="auto" w:fill="FFFFFF"/>
              </w:rPr>
              <w:t xml:space="preserve"> </w:t>
            </w:r>
          </w:p>
        </w:tc>
        <w:tc>
          <w:tcPr>
            <w:tcW w:w="2030" w:type="dxa"/>
          </w:tcPr>
          <w:p w14:paraId="208EC528" w14:textId="1080CB24" w:rsidR="0030440F" w:rsidRDefault="0030440F" w:rsidP="0030440F">
            <w:pPr>
              <w:rPr>
                <w:rFonts w:ascii="Arial" w:hAnsi="Arial" w:cs="Arial"/>
                <w:color w:val="202124"/>
                <w:shd w:val="clear" w:color="auto" w:fill="FFFFFF"/>
              </w:rPr>
            </w:pPr>
            <w:r w:rsidRPr="002020E5">
              <w:rPr>
                <w:rFonts w:ascii="Arial" w:hAnsi="Arial" w:cs="Arial"/>
                <w:color w:val="202124"/>
                <w:shd w:val="clear" w:color="auto" w:fill="FFFFFF"/>
              </w:rPr>
              <w:t>$</w:t>
            </w:r>
            <w:r>
              <w:rPr>
                <w:rFonts w:ascii="Arial" w:hAnsi="Arial" w:cs="Arial"/>
                <w:color w:val="202124"/>
                <w:shd w:val="clear" w:color="auto" w:fill="FFFFFF"/>
              </w:rPr>
              <w:t>425</w:t>
            </w:r>
            <w:r w:rsidRPr="002020E5">
              <w:rPr>
                <w:rFonts w:ascii="Arial" w:hAnsi="Arial" w:cs="Arial"/>
                <w:color w:val="202124"/>
                <w:shd w:val="clear" w:color="auto" w:fill="FFFFFF"/>
              </w:rPr>
              <w:t xml:space="preserve"> </w:t>
            </w:r>
          </w:p>
        </w:tc>
        <w:tc>
          <w:tcPr>
            <w:tcW w:w="2255" w:type="dxa"/>
          </w:tcPr>
          <w:p w14:paraId="35E4FEE2" w14:textId="683C2C30" w:rsidR="0030440F" w:rsidRDefault="0030440F" w:rsidP="0030440F">
            <w:pPr>
              <w:rPr>
                <w:rFonts w:ascii="Arial" w:hAnsi="Arial" w:cs="Arial"/>
                <w:color w:val="202124"/>
                <w:shd w:val="clear" w:color="auto" w:fill="FFFFFF"/>
              </w:rPr>
            </w:pPr>
            <w:r w:rsidRPr="000F132F">
              <w:rPr>
                <w:rFonts w:ascii="Arial" w:hAnsi="Arial" w:cs="Arial"/>
                <w:color w:val="202124"/>
                <w:shd w:val="clear" w:color="auto" w:fill="FFFFFF"/>
              </w:rPr>
              <w:t>$</w:t>
            </w:r>
            <w:r>
              <w:rPr>
                <w:rFonts w:ascii="Arial" w:hAnsi="Arial" w:cs="Arial"/>
                <w:color w:val="202124"/>
                <w:shd w:val="clear" w:color="auto" w:fill="FFFFFF"/>
              </w:rPr>
              <w:t>457</w:t>
            </w:r>
            <w:r w:rsidRPr="000F132F">
              <w:rPr>
                <w:rFonts w:ascii="Arial" w:hAnsi="Arial" w:cs="Arial"/>
                <w:color w:val="202124"/>
                <w:shd w:val="clear" w:color="auto" w:fill="FFFFFF"/>
              </w:rPr>
              <w:t xml:space="preserve"> </w:t>
            </w:r>
          </w:p>
        </w:tc>
      </w:tr>
      <w:tr w:rsidR="0030440F" w14:paraId="37DC8B3D" w14:textId="77777777" w:rsidTr="00451615">
        <w:tc>
          <w:tcPr>
            <w:tcW w:w="2477" w:type="dxa"/>
          </w:tcPr>
          <w:p w14:paraId="4C939900" w14:textId="67F09E46" w:rsidR="0030440F" w:rsidRDefault="0030440F" w:rsidP="0030440F">
            <w:pPr>
              <w:rPr>
                <w:rFonts w:ascii="Arial" w:hAnsi="Arial" w:cs="Arial"/>
                <w:color w:val="202124"/>
                <w:shd w:val="clear" w:color="auto" w:fill="FFFFFF"/>
              </w:rPr>
            </w:pPr>
            <w:r>
              <w:rPr>
                <w:rFonts w:ascii="Arial" w:hAnsi="Arial" w:cs="Arial"/>
                <w:color w:val="202124"/>
                <w:shd w:val="clear" w:color="auto" w:fill="FFFFFF"/>
              </w:rPr>
              <w:t xml:space="preserve">Power </w:t>
            </w:r>
            <w:r>
              <w:rPr>
                <w:rFonts w:ascii="Arial" w:hAnsi="Arial" w:cs="Arial"/>
                <w:color w:val="202124"/>
                <w:shd w:val="clear" w:color="auto" w:fill="FFFFFF"/>
              </w:rPr>
              <w:t>generation</w:t>
            </w:r>
          </w:p>
        </w:tc>
        <w:tc>
          <w:tcPr>
            <w:tcW w:w="2254" w:type="dxa"/>
          </w:tcPr>
          <w:p w14:paraId="556160C0" w14:textId="53871ED9" w:rsidR="0030440F" w:rsidRDefault="0030440F" w:rsidP="0030440F">
            <w:pPr>
              <w:rPr>
                <w:rFonts w:ascii="Arial" w:hAnsi="Arial" w:cs="Arial"/>
                <w:color w:val="202124"/>
                <w:shd w:val="clear" w:color="auto" w:fill="FFFFFF"/>
              </w:rPr>
            </w:pPr>
            <w:r w:rsidRPr="002020E5">
              <w:rPr>
                <w:rFonts w:ascii="Arial" w:hAnsi="Arial" w:cs="Arial"/>
                <w:color w:val="202124"/>
                <w:shd w:val="clear" w:color="auto" w:fill="FFFFFF"/>
              </w:rPr>
              <w:t>$5</w:t>
            </w:r>
            <w:r>
              <w:rPr>
                <w:rFonts w:ascii="Arial" w:hAnsi="Arial" w:cs="Arial"/>
                <w:color w:val="202124"/>
                <w:shd w:val="clear" w:color="auto" w:fill="FFFFFF"/>
              </w:rPr>
              <w:t>05</w:t>
            </w:r>
            <w:r w:rsidRPr="002020E5">
              <w:rPr>
                <w:rFonts w:ascii="Arial" w:hAnsi="Arial" w:cs="Arial"/>
                <w:color w:val="202124"/>
                <w:shd w:val="clear" w:color="auto" w:fill="FFFFFF"/>
              </w:rPr>
              <w:t xml:space="preserve"> </w:t>
            </w:r>
          </w:p>
        </w:tc>
        <w:tc>
          <w:tcPr>
            <w:tcW w:w="2030" w:type="dxa"/>
          </w:tcPr>
          <w:p w14:paraId="2D3A2DF5" w14:textId="28C7B53E" w:rsidR="0030440F" w:rsidRDefault="0030440F" w:rsidP="0030440F">
            <w:pPr>
              <w:rPr>
                <w:rFonts w:ascii="Arial" w:hAnsi="Arial" w:cs="Arial"/>
                <w:color w:val="202124"/>
                <w:shd w:val="clear" w:color="auto" w:fill="FFFFFF"/>
              </w:rPr>
            </w:pPr>
            <w:r w:rsidRPr="002020E5">
              <w:rPr>
                <w:rFonts w:ascii="Arial" w:hAnsi="Arial" w:cs="Arial"/>
                <w:color w:val="202124"/>
                <w:shd w:val="clear" w:color="auto" w:fill="FFFFFF"/>
              </w:rPr>
              <w:t>$5</w:t>
            </w:r>
            <w:r>
              <w:rPr>
                <w:rFonts w:ascii="Arial" w:hAnsi="Arial" w:cs="Arial"/>
                <w:color w:val="202124"/>
                <w:shd w:val="clear" w:color="auto" w:fill="FFFFFF"/>
              </w:rPr>
              <w:t>13</w:t>
            </w:r>
          </w:p>
        </w:tc>
        <w:tc>
          <w:tcPr>
            <w:tcW w:w="2255" w:type="dxa"/>
          </w:tcPr>
          <w:p w14:paraId="13C99818" w14:textId="1C18387F" w:rsidR="0030440F" w:rsidRDefault="0030440F" w:rsidP="0030440F">
            <w:pPr>
              <w:rPr>
                <w:rFonts w:ascii="Arial" w:hAnsi="Arial" w:cs="Arial"/>
                <w:color w:val="202124"/>
                <w:shd w:val="clear" w:color="auto" w:fill="FFFFFF"/>
              </w:rPr>
            </w:pPr>
            <w:r w:rsidRPr="000F132F">
              <w:rPr>
                <w:rFonts w:ascii="Arial" w:hAnsi="Arial" w:cs="Arial"/>
                <w:color w:val="202124"/>
                <w:shd w:val="clear" w:color="auto" w:fill="FFFFFF"/>
              </w:rPr>
              <w:t>$5</w:t>
            </w:r>
            <w:r>
              <w:rPr>
                <w:rFonts w:ascii="Arial" w:hAnsi="Arial" w:cs="Arial"/>
                <w:color w:val="202124"/>
                <w:shd w:val="clear" w:color="auto" w:fill="FFFFFF"/>
              </w:rPr>
              <w:t>30</w:t>
            </w:r>
            <w:r w:rsidRPr="000F132F">
              <w:rPr>
                <w:rFonts w:ascii="Arial" w:hAnsi="Arial" w:cs="Arial"/>
                <w:color w:val="202124"/>
                <w:shd w:val="clear" w:color="auto" w:fill="FFFFFF"/>
              </w:rPr>
              <w:t xml:space="preserve"> </w:t>
            </w:r>
          </w:p>
        </w:tc>
      </w:tr>
      <w:tr w:rsidR="00451615" w14:paraId="3A7414B6" w14:textId="77777777" w:rsidTr="00451615">
        <w:tc>
          <w:tcPr>
            <w:tcW w:w="2477" w:type="dxa"/>
          </w:tcPr>
          <w:p w14:paraId="2028F6EC" w14:textId="26CD71CC"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Energy infrastructure</w:t>
            </w:r>
          </w:p>
        </w:tc>
        <w:tc>
          <w:tcPr>
            <w:tcW w:w="2254" w:type="dxa"/>
          </w:tcPr>
          <w:p w14:paraId="5E956EE9" w14:textId="78118779"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$5</w:t>
            </w:r>
            <w:r>
              <w:rPr>
                <w:rFonts w:ascii="Arial" w:hAnsi="Arial" w:cs="Arial"/>
                <w:color w:val="202124"/>
                <w:shd w:val="clear" w:color="auto" w:fill="FFFFFF"/>
              </w:rPr>
              <w:t>54</w:t>
            </w:r>
            <w:r>
              <w:rPr>
                <w:rFonts w:ascii="Arial" w:hAnsi="Arial" w:cs="Arial"/>
                <w:color w:val="202124"/>
                <w:shd w:val="clear" w:color="auto" w:fill="FFFFFF"/>
              </w:rPr>
              <w:t xml:space="preserve"> </w:t>
            </w:r>
          </w:p>
        </w:tc>
        <w:tc>
          <w:tcPr>
            <w:tcW w:w="2030" w:type="dxa"/>
          </w:tcPr>
          <w:p w14:paraId="5BFFA87B" w14:textId="701D22AA"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461</w:t>
            </w:r>
            <w:r>
              <w:rPr>
                <w:rFonts w:ascii="Arial" w:hAnsi="Arial" w:cs="Arial"/>
                <w:color w:val="202124"/>
                <w:shd w:val="clear" w:color="auto" w:fill="FFFFFF"/>
              </w:rPr>
              <w:t xml:space="preserve"> </w:t>
            </w:r>
          </w:p>
        </w:tc>
        <w:tc>
          <w:tcPr>
            <w:tcW w:w="2255" w:type="dxa"/>
          </w:tcPr>
          <w:p w14:paraId="25CCBCCF" w14:textId="2CF708C5"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$5</w:t>
            </w:r>
            <w:r>
              <w:rPr>
                <w:rFonts w:ascii="Arial" w:hAnsi="Arial" w:cs="Arial"/>
                <w:color w:val="202124"/>
                <w:shd w:val="clear" w:color="auto" w:fill="FFFFFF"/>
              </w:rPr>
              <w:t>44</w:t>
            </w:r>
            <w:r>
              <w:rPr>
                <w:rFonts w:ascii="Arial" w:hAnsi="Arial" w:cs="Arial"/>
                <w:color w:val="202124"/>
                <w:shd w:val="clear" w:color="auto" w:fill="FFFFFF"/>
              </w:rPr>
              <w:t xml:space="preserve"> </w:t>
            </w:r>
          </w:p>
        </w:tc>
      </w:tr>
      <w:tr w:rsidR="00451615" w14:paraId="4419208C" w14:textId="77777777" w:rsidTr="00451615">
        <w:tc>
          <w:tcPr>
            <w:tcW w:w="2477" w:type="dxa"/>
          </w:tcPr>
          <w:p w14:paraId="3581C40D" w14:textId="1C0A20CA"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Industry</w:t>
            </w:r>
          </w:p>
        </w:tc>
        <w:tc>
          <w:tcPr>
            <w:tcW w:w="2254" w:type="dxa"/>
          </w:tcPr>
          <w:p w14:paraId="4E4B02E2" w14:textId="4133B773"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36</w:t>
            </w:r>
            <w:r>
              <w:rPr>
                <w:rFonts w:ascii="Arial" w:hAnsi="Arial" w:cs="Arial"/>
                <w:color w:val="202124"/>
                <w:shd w:val="clear" w:color="auto" w:fill="FFFFFF"/>
              </w:rPr>
              <w:t xml:space="preserve"> </w:t>
            </w:r>
          </w:p>
        </w:tc>
        <w:tc>
          <w:tcPr>
            <w:tcW w:w="2030" w:type="dxa"/>
          </w:tcPr>
          <w:p w14:paraId="70972C51" w14:textId="0EDA082D"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37</w:t>
            </w:r>
            <w:r>
              <w:rPr>
                <w:rFonts w:ascii="Arial" w:hAnsi="Arial" w:cs="Arial"/>
                <w:color w:val="202124"/>
                <w:shd w:val="clear" w:color="auto" w:fill="FFFFFF"/>
              </w:rPr>
              <w:t xml:space="preserve"> </w:t>
            </w:r>
          </w:p>
        </w:tc>
        <w:tc>
          <w:tcPr>
            <w:tcW w:w="2255" w:type="dxa"/>
          </w:tcPr>
          <w:p w14:paraId="2EBA81FA" w14:textId="5C11ABC2"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 xml:space="preserve">39 </w:t>
            </w:r>
          </w:p>
        </w:tc>
      </w:tr>
      <w:tr w:rsidR="00451615" w14:paraId="4AE0DDBA" w14:textId="77777777" w:rsidTr="00451615">
        <w:tc>
          <w:tcPr>
            <w:tcW w:w="2477" w:type="dxa"/>
          </w:tcPr>
          <w:p w14:paraId="33EE5B19" w14:textId="322BAC70"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Transport</w:t>
            </w:r>
          </w:p>
        </w:tc>
        <w:tc>
          <w:tcPr>
            <w:tcW w:w="2254" w:type="dxa"/>
          </w:tcPr>
          <w:p w14:paraId="5A2999D5" w14:textId="217C862A"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72</w:t>
            </w:r>
          </w:p>
        </w:tc>
        <w:tc>
          <w:tcPr>
            <w:tcW w:w="2030" w:type="dxa"/>
          </w:tcPr>
          <w:p w14:paraId="05193011" w14:textId="04D58849"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53</w:t>
            </w:r>
          </w:p>
        </w:tc>
        <w:tc>
          <w:tcPr>
            <w:tcW w:w="2255" w:type="dxa"/>
          </w:tcPr>
          <w:p w14:paraId="08FF72B9" w14:textId="60A95AEA"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65</w:t>
            </w:r>
            <w:r>
              <w:rPr>
                <w:rFonts w:ascii="Arial" w:hAnsi="Arial" w:cs="Arial"/>
                <w:color w:val="202124"/>
                <w:shd w:val="clear" w:color="auto" w:fill="FFFFFF"/>
              </w:rPr>
              <w:t xml:space="preserve"> </w:t>
            </w:r>
          </w:p>
        </w:tc>
      </w:tr>
      <w:tr w:rsidR="00451615" w14:paraId="0E3BDD83" w14:textId="77777777" w:rsidTr="00451615">
        <w:tc>
          <w:tcPr>
            <w:tcW w:w="2477" w:type="dxa"/>
          </w:tcPr>
          <w:p w14:paraId="5B5EB57D" w14:textId="3895A722" w:rsidR="00451615" w:rsidRDefault="00451615" w:rsidP="00451615">
            <w:pPr>
              <w:rPr>
                <w:rFonts w:ascii="Arial" w:hAnsi="Arial" w:cs="Arial"/>
                <w:color w:val="202124"/>
                <w:shd w:val="clear" w:color="auto" w:fill="FFFFFF"/>
              </w:rPr>
            </w:pPr>
            <w:r>
              <w:rPr>
                <w:rFonts w:ascii="Arial" w:hAnsi="Arial" w:cs="Arial"/>
                <w:color w:val="202124"/>
                <w:shd w:val="clear" w:color="auto" w:fill="FFFFFF"/>
              </w:rPr>
              <w:t>Buildings</w:t>
            </w:r>
          </w:p>
        </w:tc>
        <w:tc>
          <w:tcPr>
            <w:tcW w:w="2254" w:type="dxa"/>
          </w:tcPr>
          <w:p w14:paraId="5B65666F" w14:textId="37FDDFB9"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185</w:t>
            </w:r>
            <w:r>
              <w:rPr>
                <w:rFonts w:ascii="Arial" w:hAnsi="Arial" w:cs="Arial"/>
                <w:color w:val="202124"/>
                <w:shd w:val="clear" w:color="auto" w:fill="FFFFFF"/>
              </w:rPr>
              <w:t xml:space="preserve"> </w:t>
            </w:r>
          </w:p>
        </w:tc>
        <w:tc>
          <w:tcPr>
            <w:tcW w:w="2030" w:type="dxa"/>
          </w:tcPr>
          <w:p w14:paraId="1B88739F" w14:textId="67781549"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$2</w:t>
            </w:r>
            <w:r>
              <w:rPr>
                <w:rFonts w:ascii="Arial" w:hAnsi="Arial" w:cs="Arial"/>
                <w:color w:val="202124"/>
                <w:shd w:val="clear" w:color="auto" w:fill="FFFFFF"/>
              </w:rPr>
              <w:t>00</w:t>
            </w:r>
            <w:r>
              <w:rPr>
                <w:rFonts w:ascii="Arial" w:hAnsi="Arial" w:cs="Arial"/>
                <w:color w:val="202124"/>
                <w:shd w:val="clear" w:color="auto" w:fill="FFFFFF"/>
              </w:rPr>
              <w:t xml:space="preserve"> </w:t>
            </w:r>
          </w:p>
        </w:tc>
        <w:tc>
          <w:tcPr>
            <w:tcW w:w="2255" w:type="dxa"/>
          </w:tcPr>
          <w:p w14:paraId="5C178AFC" w14:textId="235DCDB5" w:rsidR="00451615" w:rsidRDefault="0030440F" w:rsidP="00451615">
            <w:pPr>
              <w:rPr>
                <w:rFonts w:ascii="Arial" w:hAnsi="Arial" w:cs="Arial"/>
                <w:color w:val="202124"/>
                <w:shd w:val="clear" w:color="auto" w:fill="FFFFFF"/>
              </w:rPr>
            </w:pPr>
            <w:r>
              <w:rPr>
                <w:rFonts w:ascii="Arial" w:hAnsi="Arial" w:cs="Arial"/>
                <w:color w:val="202124"/>
                <w:shd w:val="clear" w:color="auto" w:fill="FFFFFF"/>
              </w:rPr>
              <w:t>$</w:t>
            </w:r>
            <w:r>
              <w:rPr>
                <w:rFonts w:ascii="Arial" w:hAnsi="Arial" w:cs="Arial"/>
                <w:color w:val="202124"/>
                <w:shd w:val="clear" w:color="auto" w:fill="FFFFFF"/>
              </w:rPr>
              <w:t>216</w:t>
            </w:r>
            <w:r>
              <w:rPr>
                <w:rFonts w:ascii="Arial" w:hAnsi="Arial" w:cs="Arial"/>
                <w:color w:val="202124"/>
                <w:shd w:val="clear" w:color="auto" w:fill="FFFFFF"/>
              </w:rPr>
              <w:t xml:space="preserve"> </w:t>
            </w:r>
          </w:p>
        </w:tc>
      </w:tr>
    </w:tbl>
    <w:p w14:paraId="22D677AE" w14:textId="77777777" w:rsidR="006F316B" w:rsidRPr="00132824" w:rsidRDefault="006F316B" w:rsidP="006F316B"/>
    <w:p w14:paraId="29DD6B28" w14:textId="357180E6" w:rsidR="00AF34F9" w:rsidRPr="00AF34F9" w:rsidRDefault="00AF34F9" w:rsidP="00AF34F9">
      <w:pPr>
        <w:pStyle w:val="Heading4"/>
        <w:shd w:val="clear" w:color="auto" w:fill="FFFFFF"/>
        <w:spacing w:before="0"/>
        <w:textAlignment w:val="baseline"/>
        <w:rPr>
          <w:rFonts w:ascii="Arial" w:eastAsiaTheme="minorHAnsi" w:hAnsi="Arial" w:cs="Arial"/>
          <w:i w:val="0"/>
          <w:iCs w:val="0"/>
          <w:color w:val="202124"/>
          <w:shd w:val="clear" w:color="auto" w:fill="FFFFFF"/>
        </w:rPr>
      </w:pPr>
      <w:r w:rsidRPr="00AF34F9">
        <w:rPr>
          <w:rFonts w:ascii="Arial" w:eastAsiaTheme="minorHAnsi" w:hAnsi="Arial" w:cs="Arial"/>
          <w:i w:val="0"/>
          <w:iCs w:val="0"/>
          <w:color w:val="202124"/>
          <w:shd w:val="clear" w:color="auto" w:fill="FFFFFF"/>
        </w:rPr>
        <w:t>Electricity, led by buoyant spending on renewable power, continues to take the largest share of overall supply investment</w:t>
      </w:r>
      <w:r>
        <w:rPr>
          <w:rFonts w:ascii="Arial" w:eastAsiaTheme="minorHAnsi" w:hAnsi="Arial" w:cs="Arial"/>
          <w:i w:val="0"/>
          <w:iCs w:val="0"/>
          <w:color w:val="202124"/>
          <w:shd w:val="clear" w:color="auto" w:fill="FFFFFF"/>
        </w:rPr>
        <w:t xml:space="preserve">. </w:t>
      </w:r>
      <w:r w:rsidRPr="00AF34F9">
        <w:rPr>
          <w:rFonts w:ascii="Arial" w:eastAsiaTheme="minorHAnsi" w:hAnsi="Arial" w:cs="Arial"/>
          <w:i w:val="0"/>
          <w:iCs w:val="0"/>
          <w:color w:val="202124"/>
          <w:shd w:val="clear" w:color="auto" w:fill="FFFFFF"/>
        </w:rPr>
        <w:t>global power sector investment is increase</w:t>
      </w:r>
      <w:r>
        <w:rPr>
          <w:rFonts w:ascii="Arial" w:eastAsiaTheme="minorHAnsi" w:hAnsi="Arial" w:cs="Arial"/>
          <w:i w:val="0"/>
          <w:iCs w:val="0"/>
          <w:color w:val="202124"/>
          <w:shd w:val="clear" w:color="auto" w:fill="FFFFFF"/>
        </w:rPr>
        <w:t>d</w:t>
      </w:r>
      <w:r w:rsidRPr="00AF34F9">
        <w:rPr>
          <w:rFonts w:ascii="Arial" w:eastAsiaTheme="minorHAnsi" w:hAnsi="Arial" w:cs="Arial"/>
          <w:i w:val="0"/>
          <w:iCs w:val="0"/>
          <w:color w:val="202124"/>
          <w:shd w:val="clear" w:color="auto" w:fill="FFFFFF"/>
        </w:rPr>
        <w:t xml:space="preserve"> by around 5% in 2021 to more than USD 820 billion. Renewables dominate investment in new power generation and are expected to account for 70% of 2021’s total of USD 530 billion spent on all new generation capacity.</w:t>
      </w:r>
    </w:p>
    <w:p w14:paraId="2693F248" w14:textId="77777777" w:rsidR="006F316B" w:rsidRPr="00211A6B" w:rsidRDefault="006F316B" w:rsidP="006F316B"/>
    <w:tbl>
      <w:tblPr>
        <w:tblStyle w:val="TableGrid"/>
        <w:tblW w:w="0" w:type="auto"/>
        <w:tblLook w:val="04A0" w:firstRow="1" w:lastRow="0" w:firstColumn="1" w:lastColumn="0" w:noHBand="0" w:noVBand="1"/>
      </w:tblPr>
      <w:tblGrid>
        <w:gridCol w:w="3005"/>
        <w:gridCol w:w="3005"/>
        <w:gridCol w:w="3006"/>
      </w:tblGrid>
      <w:tr w:rsidR="006F316B" w14:paraId="1805E067" w14:textId="77777777" w:rsidTr="00C04B25">
        <w:tc>
          <w:tcPr>
            <w:tcW w:w="3005" w:type="dxa"/>
          </w:tcPr>
          <w:p w14:paraId="14C278DE" w14:textId="77777777" w:rsidR="006F316B" w:rsidRDefault="006F316B" w:rsidP="00C04B25">
            <w:pPr>
              <w:rPr>
                <w:rFonts w:ascii="Arial" w:hAnsi="Arial" w:cs="Arial"/>
                <w:color w:val="202124"/>
                <w:shd w:val="clear" w:color="auto" w:fill="FFFFFF"/>
              </w:rPr>
            </w:pPr>
          </w:p>
        </w:tc>
        <w:tc>
          <w:tcPr>
            <w:tcW w:w="3005" w:type="dxa"/>
          </w:tcPr>
          <w:p w14:paraId="03A3A5C8"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2019 </w:t>
            </w:r>
          </w:p>
        </w:tc>
        <w:tc>
          <w:tcPr>
            <w:tcW w:w="3006" w:type="dxa"/>
          </w:tcPr>
          <w:p w14:paraId="381BA7EC"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2020</w:t>
            </w:r>
          </w:p>
        </w:tc>
      </w:tr>
      <w:tr w:rsidR="006F316B" w14:paraId="3EF30815" w14:textId="77777777" w:rsidTr="00C04B25">
        <w:tc>
          <w:tcPr>
            <w:tcW w:w="3005" w:type="dxa"/>
          </w:tcPr>
          <w:p w14:paraId="347E96D3"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Fuel supply</w:t>
            </w:r>
          </w:p>
        </w:tc>
        <w:tc>
          <w:tcPr>
            <w:tcW w:w="3005" w:type="dxa"/>
          </w:tcPr>
          <w:p w14:paraId="776CFA76"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$854 </w:t>
            </w:r>
            <w:proofErr w:type="spellStart"/>
            <w:r>
              <w:rPr>
                <w:rFonts w:ascii="Arial" w:hAnsi="Arial" w:cs="Arial"/>
                <w:color w:val="202124"/>
                <w:shd w:val="clear" w:color="auto" w:fill="FFFFFF"/>
              </w:rPr>
              <w:t>Bilion</w:t>
            </w:r>
            <w:proofErr w:type="spellEnd"/>
          </w:p>
        </w:tc>
        <w:tc>
          <w:tcPr>
            <w:tcW w:w="3006" w:type="dxa"/>
          </w:tcPr>
          <w:p w14:paraId="2AD16A98"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$595 </w:t>
            </w:r>
            <w:proofErr w:type="spellStart"/>
            <w:r>
              <w:rPr>
                <w:rFonts w:ascii="Arial" w:hAnsi="Arial" w:cs="Arial"/>
                <w:color w:val="202124"/>
                <w:shd w:val="clear" w:color="auto" w:fill="FFFFFF"/>
              </w:rPr>
              <w:t>Bilion</w:t>
            </w:r>
            <w:proofErr w:type="spellEnd"/>
          </w:p>
        </w:tc>
      </w:tr>
      <w:tr w:rsidR="006F316B" w14:paraId="57201A1B" w14:textId="77777777" w:rsidTr="00C04B25">
        <w:tc>
          <w:tcPr>
            <w:tcW w:w="3005" w:type="dxa"/>
          </w:tcPr>
          <w:p w14:paraId="0C89F6AF"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Power sector</w:t>
            </w:r>
          </w:p>
        </w:tc>
        <w:tc>
          <w:tcPr>
            <w:tcW w:w="3005" w:type="dxa"/>
          </w:tcPr>
          <w:p w14:paraId="23C93E04"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$757 </w:t>
            </w:r>
            <w:proofErr w:type="spellStart"/>
            <w:r>
              <w:rPr>
                <w:rFonts w:ascii="Arial" w:hAnsi="Arial" w:cs="Arial"/>
                <w:color w:val="202124"/>
                <w:shd w:val="clear" w:color="auto" w:fill="FFFFFF"/>
              </w:rPr>
              <w:t>Bilion</w:t>
            </w:r>
            <w:proofErr w:type="spellEnd"/>
          </w:p>
        </w:tc>
        <w:tc>
          <w:tcPr>
            <w:tcW w:w="3006" w:type="dxa"/>
          </w:tcPr>
          <w:p w14:paraId="7A5CD9E5"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$678 </w:t>
            </w:r>
            <w:proofErr w:type="spellStart"/>
            <w:r>
              <w:rPr>
                <w:rFonts w:ascii="Arial" w:hAnsi="Arial" w:cs="Arial"/>
                <w:color w:val="202124"/>
                <w:shd w:val="clear" w:color="auto" w:fill="FFFFFF"/>
              </w:rPr>
              <w:t>Bilion</w:t>
            </w:r>
            <w:proofErr w:type="spellEnd"/>
          </w:p>
        </w:tc>
      </w:tr>
      <w:tr w:rsidR="006F316B" w14:paraId="6C68A1EA" w14:textId="77777777" w:rsidTr="00C04B25">
        <w:tc>
          <w:tcPr>
            <w:tcW w:w="3005" w:type="dxa"/>
          </w:tcPr>
          <w:p w14:paraId="059657A7"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Energy end use and efficiency </w:t>
            </w:r>
          </w:p>
        </w:tc>
        <w:tc>
          <w:tcPr>
            <w:tcW w:w="3005" w:type="dxa"/>
          </w:tcPr>
          <w:p w14:paraId="73AD4CF9"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$280 </w:t>
            </w:r>
            <w:proofErr w:type="spellStart"/>
            <w:r>
              <w:rPr>
                <w:rFonts w:ascii="Arial" w:hAnsi="Arial" w:cs="Arial"/>
                <w:color w:val="202124"/>
                <w:shd w:val="clear" w:color="auto" w:fill="FFFFFF"/>
              </w:rPr>
              <w:t>Bilion</w:t>
            </w:r>
            <w:proofErr w:type="spellEnd"/>
          </w:p>
        </w:tc>
        <w:tc>
          <w:tcPr>
            <w:tcW w:w="3006" w:type="dxa"/>
          </w:tcPr>
          <w:p w14:paraId="5A6EEC35" w14:textId="77777777" w:rsidR="006F316B" w:rsidRDefault="006F316B" w:rsidP="00C04B25">
            <w:pPr>
              <w:rPr>
                <w:rFonts w:ascii="Arial" w:hAnsi="Arial" w:cs="Arial"/>
                <w:color w:val="202124"/>
                <w:shd w:val="clear" w:color="auto" w:fill="FFFFFF"/>
              </w:rPr>
            </w:pPr>
            <w:r>
              <w:rPr>
                <w:rFonts w:ascii="Arial" w:hAnsi="Arial" w:cs="Arial"/>
                <w:color w:val="202124"/>
                <w:shd w:val="clear" w:color="auto" w:fill="FFFFFF"/>
              </w:rPr>
              <w:t xml:space="preserve">$247 </w:t>
            </w:r>
            <w:proofErr w:type="spellStart"/>
            <w:r>
              <w:rPr>
                <w:rFonts w:ascii="Arial" w:hAnsi="Arial" w:cs="Arial"/>
                <w:color w:val="202124"/>
                <w:shd w:val="clear" w:color="auto" w:fill="FFFFFF"/>
              </w:rPr>
              <w:t>Bilion</w:t>
            </w:r>
            <w:proofErr w:type="spellEnd"/>
          </w:p>
        </w:tc>
      </w:tr>
    </w:tbl>
    <w:p w14:paraId="05188719" w14:textId="77777777" w:rsidR="006F316B" w:rsidRPr="006A5A2A" w:rsidRDefault="006F316B" w:rsidP="006F316B">
      <w:pPr>
        <w:rPr>
          <w:rFonts w:ascii="Arial" w:hAnsi="Arial" w:cs="Arial"/>
          <w:color w:val="202124"/>
          <w:shd w:val="clear" w:color="auto" w:fill="FFFFFF"/>
        </w:rPr>
      </w:pPr>
    </w:p>
    <w:p w14:paraId="0F76DF76" w14:textId="77777777" w:rsidR="006F316B" w:rsidRDefault="006F316B" w:rsidP="000D7DFF">
      <w:pPr>
        <w:rPr>
          <w:rFonts w:ascii="Arial" w:hAnsi="Arial" w:cs="Arial"/>
          <w:color w:val="202124"/>
          <w:shd w:val="clear" w:color="auto" w:fill="FFFFFF"/>
        </w:rPr>
      </w:pPr>
    </w:p>
    <w:p w14:paraId="64B63D02" w14:textId="07F5162A" w:rsidR="00C9304B" w:rsidRDefault="00C9304B" w:rsidP="000D7DFF">
      <w:pPr>
        <w:rPr>
          <w:rFonts w:ascii="Arial" w:hAnsi="Arial" w:cs="Arial"/>
          <w:color w:val="202124"/>
          <w:shd w:val="clear" w:color="auto" w:fill="FFFFFF"/>
        </w:rPr>
      </w:pPr>
    </w:p>
    <w:p w14:paraId="14482795" w14:textId="69664A67" w:rsidR="002B5669" w:rsidRDefault="00C9304B" w:rsidP="000D7DFF">
      <w:pPr>
        <w:rPr>
          <w:rFonts w:ascii="Arial" w:hAnsi="Arial" w:cs="Arial"/>
          <w:color w:val="202124"/>
          <w:shd w:val="clear" w:color="auto" w:fill="FFFFFF"/>
        </w:rPr>
      </w:pPr>
      <w:r>
        <w:br/>
      </w:r>
    </w:p>
    <w:p w14:paraId="1A7BE4E2" w14:textId="1152556D" w:rsidR="002B5669" w:rsidRPr="00FD0038" w:rsidRDefault="002B5669" w:rsidP="002B5669">
      <w:pPr>
        <w:shd w:val="clear" w:color="auto" w:fill="000000"/>
        <w:spacing w:after="0" w:line="240" w:lineRule="auto"/>
        <w:textAlignment w:val="baseline"/>
        <w:outlineLvl w:val="0"/>
        <w:rPr>
          <w:rFonts w:ascii="Arial" w:eastAsia="Times New Roman" w:hAnsi="Arial" w:cs="Arial"/>
          <w:b/>
          <w:bCs/>
          <w:color w:val="FFFFFF"/>
          <w:spacing w:val="-7"/>
          <w:kern w:val="36"/>
          <w:sz w:val="48"/>
          <w:szCs w:val="48"/>
          <w:lang w:eastAsia="en-IE"/>
        </w:rPr>
      </w:pPr>
      <w:r>
        <w:rPr>
          <w:rFonts w:ascii="Arial" w:eastAsia="Times New Roman" w:hAnsi="Arial" w:cs="Arial"/>
          <w:b/>
          <w:bCs/>
          <w:color w:val="FFFFFF"/>
          <w:spacing w:val="-7"/>
          <w:kern w:val="36"/>
          <w:sz w:val="48"/>
          <w:szCs w:val="48"/>
          <w:lang w:eastAsia="en-IE"/>
        </w:rPr>
        <w:lastRenderedPageBreak/>
        <w:t>OECD/</w:t>
      </w:r>
      <w:r>
        <w:rPr>
          <w:rFonts w:ascii="Arial" w:eastAsia="Times New Roman" w:hAnsi="Arial" w:cs="Arial"/>
          <w:b/>
          <w:bCs/>
          <w:color w:val="FFFFFF"/>
          <w:spacing w:val="-7"/>
          <w:kern w:val="36"/>
          <w:sz w:val="48"/>
          <w:szCs w:val="48"/>
          <w:lang w:eastAsia="en-IE"/>
        </w:rPr>
        <w:t xml:space="preserve">IEA </w:t>
      </w:r>
      <w:r w:rsidR="00431361">
        <w:rPr>
          <w:rFonts w:ascii="Arial" w:eastAsia="Times New Roman" w:hAnsi="Arial" w:cs="Arial"/>
          <w:b/>
          <w:bCs/>
          <w:color w:val="FFFFFF"/>
          <w:spacing w:val="-7"/>
          <w:kern w:val="36"/>
          <w:sz w:val="48"/>
          <w:szCs w:val="48"/>
          <w:lang w:eastAsia="en-IE"/>
        </w:rPr>
        <w:t xml:space="preserve">fossil-fuel subsidies </w:t>
      </w:r>
      <w:r>
        <w:rPr>
          <w:rFonts w:ascii="Arial" w:eastAsia="Times New Roman" w:hAnsi="Arial" w:cs="Arial"/>
          <w:b/>
          <w:bCs/>
          <w:color w:val="FFFFFF"/>
          <w:spacing w:val="-7"/>
          <w:kern w:val="36"/>
          <w:sz w:val="48"/>
          <w:szCs w:val="48"/>
          <w:lang w:eastAsia="en-IE"/>
        </w:rPr>
        <w:t xml:space="preserve">2021 </w:t>
      </w:r>
    </w:p>
    <w:p w14:paraId="4790D659" w14:textId="77777777" w:rsidR="002B5669" w:rsidRDefault="002B5669" w:rsidP="000D7DFF">
      <w:pPr>
        <w:rPr>
          <w:rFonts w:ascii="Arial" w:hAnsi="Arial" w:cs="Arial"/>
          <w:color w:val="202124"/>
          <w:shd w:val="clear" w:color="auto" w:fill="FFFFFF"/>
        </w:rPr>
      </w:pPr>
    </w:p>
    <w:p w14:paraId="5B3BFA13" w14:textId="1A34AAE7" w:rsidR="004F7D1B" w:rsidRDefault="004F7D1B" w:rsidP="004F7D1B">
      <w:pPr>
        <w:rPr>
          <w:rFonts w:ascii="Helvetica" w:hAnsi="Helvetica"/>
          <w:color w:val="333333"/>
          <w:sz w:val="21"/>
          <w:szCs w:val="21"/>
          <w:shd w:val="clear" w:color="auto" w:fill="FFFFFF"/>
        </w:rPr>
      </w:pPr>
      <w:r>
        <w:rPr>
          <w:rFonts w:ascii="Arial" w:hAnsi="Arial" w:cs="Arial"/>
          <w:color w:val="202124"/>
          <w:shd w:val="clear" w:color="auto" w:fill="FFFFFF"/>
        </w:rPr>
        <w:t>T</w:t>
      </w:r>
      <w:r w:rsidRPr="002B5669">
        <w:rPr>
          <w:rFonts w:ascii="Arial" w:hAnsi="Arial" w:cs="Arial"/>
          <w:color w:val="202124"/>
          <w:shd w:val="clear" w:color="auto" w:fill="FFFFFF"/>
        </w:rPr>
        <w:t xml:space="preserve">he latest OECD and IEA data show that the </w:t>
      </w:r>
      <w:r>
        <w:rPr>
          <w:rFonts w:ascii="Helvetica" w:hAnsi="Helvetica"/>
          <w:color w:val="333333"/>
          <w:sz w:val="21"/>
          <w:szCs w:val="21"/>
          <w:shd w:val="clear" w:color="auto" w:fill="FFFFFF"/>
        </w:rPr>
        <w:t xml:space="preserve">fossil fuel support fell by 10% to USD 183 billion in 2020 in 50 advanced and emerging economies. The transport sector alone saw a 15% </w:t>
      </w:r>
      <w:proofErr w:type="gramStart"/>
      <w:r>
        <w:rPr>
          <w:rFonts w:ascii="Helvetica" w:hAnsi="Helvetica"/>
          <w:color w:val="333333"/>
          <w:sz w:val="21"/>
          <w:szCs w:val="21"/>
          <w:shd w:val="clear" w:color="auto" w:fill="FFFFFF"/>
        </w:rPr>
        <w:t>drop in</w:t>
      </w:r>
      <w:proofErr w:type="gramEnd"/>
      <w:r>
        <w:rPr>
          <w:rFonts w:ascii="Helvetica" w:hAnsi="Helvetica"/>
          <w:color w:val="333333"/>
          <w:sz w:val="21"/>
          <w:szCs w:val="21"/>
          <w:shd w:val="clear" w:color="auto" w:fill="FFFFFF"/>
        </w:rPr>
        <w:t xml:space="preserve"> support due to the slump in fuel use from restrictions on mobility during the pandemic. Among fuels, petroleum has experienced the largest drop, with support down 19%.</w:t>
      </w:r>
    </w:p>
    <w:p w14:paraId="718D0ED2" w14:textId="66890714" w:rsidR="004543A0" w:rsidRPr="006A5A2A" w:rsidRDefault="004543A0" w:rsidP="004F7D1B">
      <w:pPr>
        <w:rPr>
          <w:rFonts w:ascii="Arial" w:hAnsi="Arial" w:cs="Arial"/>
          <w:color w:val="202124"/>
          <w:shd w:val="clear" w:color="auto" w:fill="FFFFFF"/>
        </w:rPr>
      </w:pPr>
      <w:r>
        <w:rPr>
          <w:rFonts w:ascii="Helvetica" w:hAnsi="Helvetica"/>
          <w:color w:val="333333"/>
          <w:sz w:val="21"/>
          <w:szCs w:val="21"/>
          <w:shd w:val="clear" w:color="auto" w:fill="FFFFFF"/>
        </w:rPr>
        <w:t xml:space="preserve">The </w:t>
      </w:r>
      <w:r>
        <w:rPr>
          <w:rFonts w:ascii="Helvetica" w:hAnsi="Helvetica"/>
          <w:color w:val="333333"/>
          <w:sz w:val="21"/>
          <w:szCs w:val="21"/>
          <w:shd w:val="clear" w:color="auto" w:fill="FFFFFF"/>
        </w:rPr>
        <w:t xml:space="preserve">decrease was </w:t>
      </w:r>
      <w:r>
        <w:rPr>
          <w:rFonts w:ascii="Helvetica" w:hAnsi="Helvetica"/>
          <w:color w:val="333333"/>
          <w:sz w:val="21"/>
          <w:szCs w:val="21"/>
          <w:shd w:val="clear" w:color="auto" w:fill="FFFFFF"/>
        </w:rPr>
        <w:t>due to the</w:t>
      </w:r>
      <w:r>
        <w:rPr>
          <w:rFonts w:ascii="Helvetica" w:hAnsi="Helvetica"/>
          <w:color w:val="333333"/>
          <w:sz w:val="21"/>
          <w:szCs w:val="21"/>
          <w:shd w:val="clear" w:color="auto" w:fill="FFFFFF"/>
        </w:rPr>
        <w:t xml:space="preserve"> declining fuel prices and demand as the COVID-19 pandemic</w:t>
      </w:r>
      <w:r>
        <w:rPr>
          <w:rFonts w:ascii="Helvetica" w:hAnsi="Helvetica"/>
          <w:color w:val="333333"/>
          <w:sz w:val="21"/>
          <w:szCs w:val="21"/>
          <w:shd w:val="clear" w:color="auto" w:fill="FFFFFF"/>
        </w:rPr>
        <w:t>. T</w:t>
      </w:r>
      <w:r>
        <w:rPr>
          <w:rFonts w:ascii="Helvetica" w:hAnsi="Helvetica"/>
          <w:color w:val="333333"/>
          <w:sz w:val="21"/>
          <w:szCs w:val="21"/>
          <w:shd w:val="clear" w:color="auto" w:fill="FFFFFF"/>
        </w:rPr>
        <w:t xml:space="preserve">oday’s climate of rising energy prices, </w:t>
      </w:r>
      <w:r>
        <w:rPr>
          <w:rFonts w:ascii="Helvetica" w:hAnsi="Helvetica"/>
          <w:color w:val="333333"/>
          <w:sz w:val="21"/>
          <w:szCs w:val="21"/>
          <w:shd w:val="clear" w:color="auto" w:fill="FFFFFF"/>
        </w:rPr>
        <w:t>the</w:t>
      </w:r>
      <w:r>
        <w:rPr>
          <w:rFonts w:ascii="Helvetica" w:hAnsi="Helvetica"/>
          <w:color w:val="333333"/>
          <w:sz w:val="21"/>
          <w:szCs w:val="21"/>
          <w:shd w:val="clear" w:color="auto" w:fill="FFFFFF"/>
        </w:rPr>
        <w:t xml:space="preserve"> consumption subsidies ha</w:t>
      </w:r>
      <w:r>
        <w:rPr>
          <w:rFonts w:ascii="Helvetica" w:hAnsi="Helvetica"/>
          <w:color w:val="333333"/>
          <w:sz w:val="21"/>
          <w:szCs w:val="21"/>
          <w:shd w:val="clear" w:color="auto" w:fill="FFFFFF"/>
        </w:rPr>
        <w:t>s</w:t>
      </w:r>
      <w:r>
        <w:rPr>
          <w:rFonts w:ascii="Helvetica" w:hAnsi="Helvetica"/>
          <w:color w:val="333333"/>
          <w:sz w:val="21"/>
          <w:szCs w:val="21"/>
          <w:shd w:val="clear" w:color="auto" w:fill="FFFFFF"/>
        </w:rPr>
        <w:t xml:space="preserve"> risen again in 2021, aided by an uptick in economic activity. </w:t>
      </w:r>
      <w:r>
        <w:rPr>
          <w:rFonts w:ascii="Helvetica" w:hAnsi="Helvetica"/>
          <w:color w:val="333333"/>
          <w:sz w:val="21"/>
          <w:szCs w:val="21"/>
          <w:shd w:val="clear" w:color="auto" w:fill="FFFFFF"/>
        </w:rPr>
        <w:t>The</w:t>
      </w:r>
      <w:r>
        <w:rPr>
          <w:rFonts w:ascii="Helvetica" w:hAnsi="Helvetica"/>
          <w:color w:val="333333"/>
          <w:sz w:val="21"/>
          <w:szCs w:val="21"/>
          <w:shd w:val="clear" w:color="auto" w:fill="FFFFFF"/>
        </w:rPr>
        <w:t xml:space="preserve"> IEA estimates that consumption subsidies will more than double in 2021 due to higher fuel prices and energy use, coupled with hesitancy on pricing reforms.</w:t>
      </w:r>
    </w:p>
    <w:p w14:paraId="54E27633" w14:textId="1215640B" w:rsidR="00730AF1" w:rsidRDefault="00776E95" w:rsidP="00776E95">
      <w:pPr>
        <w:pStyle w:val="NormalWeb"/>
        <w:shd w:val="clear" w:color="auto" w:fill="FFFFFF"/>
        <w:spacing w:before="0" w:beforeAutospacing="0" w:after="150" w:afterAutospacing="0"/>
        <w:rPr>
          <w:rFonts w:ascii="Arial" w:eastAsiaTheme="minorHAnsi" w:hAnsi="Arial" w:cs="Arial"/>
          <w:color w:val="202124"/>
          <w:sz w:val="22"/>
          <w:szCs w:val="22"/>
          <w:shd w:val="clear" w:color="auto" w:fill="FFFFFF"/>
          <w:lang w:eastAsia="en-US"/>
        </w:rPr>
      </w:pPr>
      <w:r w:rsidRPr="00776E95">
        <w:rPr>
          <w:rFonts w:ascii="Arial" w:eastAsiaTheme="minorHAnsi" w:hAnsi="Arial" w:cs="Arial"/>
          <w:color w:val="202124"/>
          <w:sz w:val="22"/>
          <w:szCs w:val="22"/>
          <w:shd w:val="clear" w:color="auto" w:fill="FFFFFF"/>
          <w:lang w:eastAsia="en-US"/>
        </w:rPr>
        <w:t xml:space="preserve">However, the reopening of economies has seen </w:t>
      </w:r>
      <w:r w:rsidR="004F7D1B">
        <w:rPr>
          <w:rFonts w:ascii="Arial" w:eastAsiaTheme="minorHAnsi" w:hAnsi="Arial" w:cs="Arial"/>
          <w:color w:val="202124"/>
          <w:sz w:val="22"/>
          <w:szCs w:val="22"/>
          <w:shd w:val="clear" w:color="auto" w:fill="FFFFFF"/>
          <w:lang w:eastAsia="en-US"/>
        </w:rPr>
        <w:t xml:space="preserve">rase in </w:t>
      </w:r>
      <w:r w:rsidRPr="00776E95">
        <w:rPr>
          <w:rFonts w:ascii="Arial" w:eastAsiaTheme="minorHAnsi" w:hAnsi="Arial" w:cs="Arial"/>
          <w:color w:val="202124"/>
          <w:sz w:val="22"/>
          <w:szCs w:val="22"/>
          <w:shd w:val="clear" w:color="auto" w:fill="FFFFFF"/>
          <w:lang w:eastAsia="en-US"/>
        </w:rPr>
        <w:t>energy prices. Government support for fossil fuels encourages their continued production and consumption and so is a challenge for governments’ net-zero pledges, while crowding out investment in sustainable energy infrastructure and other public services.</w:t>
      </w:r>
    </w:p>
    <w:p w14:paraId="3E2F8EE4" w14:textId="6B4F1B98" w:rsidR="00730AF1" w:rsidRDefault="00730AF1" w:rsidP="00776E95">
      <w:pPr>
        <w:pStyle w:val="NormalWeb"/>
        <w:shd w:val="clear" w:color="auto" w:fill="FFFFFF"/>
        <w:spacing w:before="0" w:beforeAutospacing="0" w:after="150" w:afterAutospacing="0"/>
        <w:rPr>
          <w:rFonts w:ascii="Noto Sans" w:hAnsi="Noto Sans" w:cs="Noto Sans"/>
          <w:color w:val="333333"/>
        </w:rPr>
      </w:pPr>
      <w:r w:rsidRPr="00730AF1">
        <w:rPr>
          <w:rFonts w:ascii="Arial" w:eastAsiaTheme="minorHAnsi" w:hAnsi="Arial" w:cs="Arial"/>
          <w:color w:val="202124"/>
          <w:sz w:val="22"/>
          <w:szCs w:val="22"/>
          <w:shd w:val="clear" w:color="auto" w:fill="FFFFFF"/>
          <w:lang w:eastAsia="en-US"/>
        </w:rPr>
        <w:t>In principle, any measure that keeps prices for energy consumers below market levels or for energy producers above market levels, or that reduces costs for consumers or producers, may be considered a subsidy. Energy is often subsidised through price controls, which keep prices below the full economic cost of supply.</w:t>
      </w:r>
    </w:p>
    <w:sectPr w:rsidR="0073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9AD"/>
    <w:multiLevelType w:val="hybridMultilevel"/>
    <w:tmpl w:val="86DC3846"/>
    <w:lvl w:ilvl="0" w:tplc="D020E52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D85502"/>
    <w:multiLevelType w:val="hybridMultilevel"/>
    <w:tmpl w:val="111A7252"/>
    <w:lvl w:ilvl="0" w:tplc="D020E52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MTEyNzMwMrGwMLRQ0lEKTi0uzszPAykwrAUAsXXCNiwAAAA="/>
  </w:docVars>
  <w:rsids>
    <w:rsidRoot w:val="007E22A8"/>
    <w:rsid w:val="000373B9"/>
    <w:rsid w:val="000813C7"/>
    <w:rsid w:val="000962CC"/>
    <w:rsid w:val="000A2F4F"/>
    <w:rsid w:val="000D7DFF"/>
    <w:rsid w:val="000E2FC2"/>
    <w:rsid w:val="00132824"/>
    <w:rsid w:val="00211A6B"/>
    <w:rsid w:val="00272C61"/>
    <w:rsid w:val="002B5669"/>
    <w:rsid w:val="002F68F5"/>
    <w:rsid w:val="0030440F"/>
    <w:rsid w:val="00313C72"/>
    <w:rsid w:val="00326D49"/>
    <w:rsid w:val="003331E7"/>
    <w:rsid w:val="00397F1E"/>
    <w:rsid w:val="003A1CC2"/>
    <w:rsid w:val="003B17E8"/>
    <w:rsid w:val="003F24F0"/>
    <w:rsid w:val="00431361"/>
    <w:rsid w:val="00451615"/>
    <w:rsid w:val="004543A0"/>
    <w:rsid w:val="004562C4"/>
    <w:rsid w:val="00484C7C"/>
    <w:rsid w:val="004F7D1B"/>
    <w:rsid w:val="00567B9E"/>
    <w:rsid w:val="005863D4"/>
    <w:rsid w:val="005B6D46"/>
    <w:rsid w:val="005C0839"/>
    <w:rsid w:val="005F6DF9"/>
    <w:rsid w:val="006260A5"/>
    <w:rsid w:val="00626D9F"/>
    <w:rsid w:val="0065249F"/>
    <w:rsid w:val="006A5A2A"/>
    <w:rsid w:val="006D519C"/>
    <w:rsid w:val="006F316B"/>
    <w:rsid w:val="00725ECF"/>
    <w:rsid w:val="00730AF1"/>
    <w:rsid w:val="00776E95"/>
    <w:rsid w:val="00797503"/>
    <w:rsid w:val="007B0935"/>
    <w:rsid w:val="007B0995"/>
    <w:rsid w:val="007E22A8"/>
    <w:rsid w:val="00832D9D"/>
    <w:rsid w:val="0086086D"/>
    <w:rsid w:val="008B7D6E"/>
    <w:rsid w:val="00973AAE"/>
    <w:rsid w:val="00A476FD"/>
    <w:rsid w:val="00AA41F0"/>
    <w:rsid w:val="00AF34F9"/>
    <w:rsid w:val="00B34262"/>
    <w:rsid w:val="00B43466"/>
    <w:rsid w:val="00BC316E"/>
    <w:rsid w:val="00BE0BD4"/>
    <w:rsid w:val="00BE61CE"/>
    <w:rsid w:val="00C03592"/>
    <w:rsid w:val="00C55CFA"/>
    <w:rsid w:val="00C667B4"/>
    <w:rsid w:val="00C9304B"/>
    <w:rsid w:val="00CC3E76"/>
    <w:rsid w:val="00D47E31"/>
    <w:rsid w:val="00D5260B"/>
    <w:rsid w:val="00D56D90"/>
    <w:rsid w:val="00D61B3C"/>
    <w:rsid w:val="00DC4B0C"/>
    <w:rsid w:val="00DE12A6"/>
    <w:rsid w:val="00E02059"/>
    <w:rsid w:val="00E03760"/>
    <w:rsid w:val="00E3464B"/>
    <w:rsid w:val="00E54D7E"/>
    <w:rsid w:val="00E748CC"/>
    <w:rsid w:val="00EE6E61"/>
    <w:rsid w:val="00EF5AF7"/>
    <w:rsid w:val="00F02BF5"/>
    <w:rsid w:val="00F54915"/>
    <w:rsid w:val="00F608E3"/>
    <w:rsid w:val="00F638A2"/>
    <w:rsid w:val="00F9464B"/>
    <w:rsid w:val="00FD0038"/>
    <w:rsid w:val="00FE0148"/>
    <w:rsid w:val="00FF3C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4EF5"/>
  <w15:chartTrackingRefBased/>
  <w15:docId w15:val="{0585510E-AE2A-4C03-BCA9-94DB7279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FA"/>
  </w:style>
  <w:style w:type="paragraph" w:styleId="Heading1">
    <w:name w:val="heading 1"/>
    <w:basedOn w:val="Normal"/>
    <w:link w:val="Heading1Char"/>
    <w:uiPriority w:val="9"/>
    <w:qFormat/>
    <w:rsid w:val="00FD00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next w:val="Normal"/>
    <w:link w:val="Heading3Char"/>
    <w:uiPriority w:val="9"/>
    <w:unhideWhenUsed/>
    <w:qFormat/>
    <w:rsid w:val="00FF3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00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1E7"/>
    <w:pPr>
      <w:ind w:left="720"/>
      <w:contextualSpacing/>
    </w:pPr>
  </w:style>
  <w:style w:type="character" w:customStyle="1" w:styleId="hgkelc">
    <w:name w:val="hgkelc"/>
    <w:basedOn w:val="DefaultParagraphFont"/>
    <w:rsid w:val="006D519C"/>
  </w:style>
  <w:style w:type="character" w:customStyle="1" w:styleId="markedcontent">
    <w:name w:val="markedcontent"/>
    <w:basedOn w:val="DefaultParagraphFont"/>
    <w:rsid w:val="005F6DF9"/>
  </w:style>
  <w:style w:type="character" w:customStyle="1" w:styleId="Heading1Char">
    <w:name w:val="Heading 1 Char"/>
    <w:basedOn w:val="DefaultParagraphFont"/>
    <w:link w:val="Heading1"/>
    <w:uiPriority w:val="9"/>
    <w:rsid w:val="00FD0038"/>
    <w:rPr>
      <w:rFonts w:ascii="Times New Roman" w:eastAsia="Times New Roman" w:hAnsi="Times New Roman" w:cs="Times New Roman"/>
      <w:b/>
      <w:bCs/>
      <w:kern w:val="36"/>
      <w:sz w:val="48"/>
      <w:szCs w:val="48"/>
      <w:lang w:eastAsia="en-IE"/>
    </w:rPr>
  </w:style>
  <w:style w:type="character" w:customStyle="1" w:styleId="Heading4Char">
    <w:name w:val="Heading 4 Char"/>
    <w:basedOn w:val="DefaultParagraphFont"/>
    <w:link w:val="Heading4"/>
    <w:uiPriority w:val="9"/>
    <w:rsid w:val="00FD003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1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3C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6E9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c-jhkvzv">
    <w:name w:val="sc-jhkvzv"/>
    <w:basedOn w:val="DefaultParagraphFont"/>
    <w:rsid w:val="00DE12A6"/>
  </w:style>
  <w:style w:type="character" w:styleId="Strong">
    <w:name w:val="Strong"/>
    <w:basedOn w:val="DefaultParagraphFont"/>
    <w:uiPriority w:val="22"/>
    <w:qFormat/>
    <w:rsid w:val="003B1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9013">
      <w:bodyDiv w:val="1"/>
      <w:marLeft w:val="0"/>
      <w:marRight w:val="0"/>
      <w:marTop w:val="0"/>
      <w:marBottom w:val="0"/>
      <w:divBdr>
        <w:top w:val="none" w:sz="0" w:space="0" w:color="auto"/>
        <w:left w:val="none" w:sz="0" w:space="0" w:color="auto"/>
        <w:bottom w:val="none" w:sz="0" w:space="0" w:color="auto"/>
        <w:right w:val="none" w:sz="0" w:space="0" w:color="auto"/>
      </w:divBdr>
      <w:divsChild>
        <w:div w:id="129858749">
          <w:marLeft w:val="0"/>
          <w:marRight w:val="0"/>
          <w:marTop w:val="0"/>
          <w:marBottom w:val="0"/>
          <w:divBdr>
            <w:top w:val="none" w:sz="0" w:space="0" w:color="auto"/>
            <w:left w:val="none" w:sz="0" w:space="0" w:color="auto"/>
            <w:bottom w:val="none" w:sz="0" w:space="0" w:color="auto"/>
            <w:right w:val="none" w:sz="0" w:space="0" w:color="auto"/>
          </w:divBdr>
          <w:divsChild>
            <w:div w:id="9670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899">
      <w:bodyDiv w:val="1"/>
      <w:marLeft w:val="0"/>
      <w:marRight w:val="0"/>
      <w:marTop w:val="0"/>
      <w:marBottom w:val="0"/>
      <w:divBdr>
        <w:top w:val="none" w:sz="0" w:space="0" w:color="auto"/>
        <w:left w:val="none" w:sz="0" w:space="0" w:color="auto"/>
        <w:bottom w:val="none" w:sz="0" w:space="0" w:color="auto"/>
        <w:right w:val="none" w:sz="0" w:space="0" w:color="auto"/>
      </w:divBdr>
    </w:div>
    <w:div w:id="434859834">
      <w:bodyDiv w:val="1"/>
      <w:marLeft w:val="0"/>
      <w:marRight w:val="0"/>
      <w:marTop w:val="0"/>
      <w:marBottom w:val="0"/>
      <w:divBdr>
        <w:top w:val="none" w:sz="0" w:space="0" w:color="auto"/>
        <w:left w:val="none" w:sz="0" w:space="0" w:color="auto"/>
        <w:bottom w:val="none" w:sz="0" w:space="0" w:color="auto"/>
        <w:right w:val="none" w:sz="0" w:space="0" w:color="auto"/>
      </w:divBdr>
      <w:divsChild>
        <w:div w:id="1776442108">
          <w:marLeft w:val="-480"/>
          <w:marRight w:val="0"/>
          <w:marTop w:val="0"/>
          <w:marBottom w:val="0"/>
          <w:divBdr>
            <w:top w:val="none" w:sz="0" w:space="0" w:color="auto"/>
            <w:left w:val="none" w:sz="0" w:space="0" w:color="auto"/>
            <w:bottom w:val="none" w:sz="0" w:space="0" w:color="auto"/>
            <w:right w:val="none" w:sz="0" w:space="0" w:color="auto"/>
          </w:divBdr>
          <w:divsChild>
            <w:div w:id="17384789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39766495">
      <w:bodyDiv w:val="1"/>
      <w:marLeft w:val="0"/>
      <w:marRight w:val="0"/>
      <w:marTop w:val="0"/>
      <w:marBottom w:val="0"/>
      <w:divBdr>
        <w:top w:val="none" w:sz="0" w:space="0" w:color="auto"/>
        <w:left w:val="none" w:sz="0" w:space="0" w:color="auto"/>
        <w:bottom w:val="none" w:sz="0" w:space="0" w:color="auto"/>
        <w:right w:val="none" w:sz="0" w:space="0" w:color="auto"/>
      </w:divBdr>
    </w:div>
    <w:div w:id="726609877">
      <w:bodyDiv w:val="1"/>
      <w:marLeft w:val="0"/>
      <w:marRight w:val="0"/>
      <w:marTop w:val="0"/>
      <w:marBottom w:val="0"/>
      <w:divBdr>
        <w:top w:val="none" w:sz="0" w:space="0" w:color="auto"/>
        <w:left w:val="none" w:sz="0" w:space="0" w:color="auto"/>
        <w:bottom w:val="none" w:sz="0" w:space="0" w:color="auto"/>
        <w:right w:val="none" w:sz="0" w:space="0" w:color="auto"/>
      </w:divBdr>
    </w:div>
    <w:div w:id="736828356">
      <w:bodyDiv w:val="1"/>
      <w:marLeft w:val="0"/>
      <w:marRight w:val="0"/>
      <w:marTop w:val="0"/>
      <w:marBottom w:val="0"/>
      <w:divBdr>
        <w:top w:val="none" w:sz="0" w:space="0" w:color="auto"/>
        <w:left w:val="none" w:sz="0" w:space="0" w:color="auto"/>
        <w:bottom w:val="none" w:sz="0" w:space="0" w:color="auto"/>
        <w:right w:val="none" w:sz="0" w:space="0" w:color="auto"/>
      </w:divBdr>
    </w:div>
    <w:div w:id="744303472">
      <w:bodyDiv w:val="1"/>
      <w:marLeft w:val="0"/>
      <w:marRight w:val="0"/>
      <w:marTop w:val="0"/>
      <w:marBottom w:val="0"/>
      <w:divBdr>
        <w:top w:val="none" w:sz="0" w:space="0" w:color="auto"/>
        <w:left w:val="none" w:sz="0" w:space="0" w:color="auto"/>
        <w:bottom w:val="none" w:sz="0" w:space="0" w:color="auto"/>
        <w:right w:val="none" w:sz="0" w:space="0" w:color="auto"/>
      </w:divBdr>
    </w:div>
    <w:div w:id="807280522">
      <w:bodyDiv w:val="1"/>
      <w:marLeft w:val="0"/>
      <w:marRight w:val="0"/>
      <w:marTop w:val="0"/>
      <w:marBottom w:val="0"/>
      <w:divBdr>
        <w:top w:val="none" w:sz="0" w:space="0" w:color="auto"/>
        <w:left w:val="none" w:sz="0" w:space="0" w:color="auto"/>
        <w:bottom w:val="none" w:sz="0" w:space="0" w:color="auto"/>
        <w:right w:val="none" w:sz="0" w:space="0" w:color="auto"/>
      </w:divBdr>
    </w:div>
    <w:div w:id="853957269">
      <w:bodyDiv w:val="1"/>
      <w:marLeft w:val="0"/>
      <w:marRight w:val="0"/>
      <w:marTop w:val="0"/>
      <w:marBottom w:val="0"/>
      <w:divBdr>
        <w:top w:val="none" w:sz="0" w:space="0" w:color="auto"/>
        <w:left w:val="none" w:sz="0" w:space="0" w:color="auto"/>
        <w:bottom w:val="none" w:sz="0" w:space="0" w:color="auto"/>
        <w:right w:val="none" w:sz="0" w:space="0" w:color="auto"/>
      </w:divBdr>
    </w:div>
    <w:div w:id="1008101597">
      <w:bodyDiv w:val="1"/>
      <w:marLeft w:val="0"/>
      <w:marRight w:val="0"/>
      <w:marTop w:val="0"/>
      <w:marBottom w:val="0"/>
      <w:divBdr>
        <w:top w:val="none" w:sz="0" w:space="0" w:color="auto"/>
        <w:left w:val="none" w:sz="0" w:space="0" w:color="auto"/>
        <w:bottom w:val="none" w:sz="0" w:space="0" w:color="auto"/>
        <w:right w:val="none" w:sz="0" w:space="0" w:color="auto"/>
      </w:divBdr>
    </w:div>
    <w:div w:id="1050152286">
      <w:bodyDiv w:val="1"/>
      <w:marLeft w:val="0"/>
      <w:marRight w:val="0"/>
      <w:marTop w:val="0"/>
      <w:marBottom w:val="0"/>
      <w:divBdr>
        <w:top w:val="none" w:sz="0" w:space="0" w:color="auto"/>
        <w:left w:val="none" w:sz="0" w:space="0" w:color="auto"/>
        <w:bottom w:val="none" w:sz="0" w:space="0" w:color="auto"/>
        <w:right w:val="none" w:sz="0" w:space="0" w:color="auto"/>
      </w:divBdr>
    </w:div>
    <w:div w:id="1074861673">
      <w:bodyDiv w:val="1"/>
      <w:marLeft w:val="0"/>
      <w:marRight w:val="0"/>
      <w:marTop w:val="0"/>
      <w:marBottom w:val="0"/>
      <w:divBdr>
        <w:top w:val="none" w:sz="0" w:space="0" w:color="auto"/>
        <w:left w:val="none" w:sz="0" w:space="0" w:color="auto"/>
        <w:bottom w:val="none" w:sz="0" w:space="0" w:color="auto"/>
        <w:right w:val="none" w:sz="0" w:space="0" w:color="auto"/>
      </w:divBdr>
    </w:div>
    <w:div w:id="1235312176">
      <w:bodyDiv w:val="1"/>
      <w:marLeft w:val="0"/>
      <w:marRight w:val="0"/>
      <w:marTop w:val="0"/>
      <w:marBottom w:val="0"/>
      <w:divBdr>
        <w:top w:val="none" w:sz="0" w:space="0" w:color="auto"/>
        <w:left w:val="none" w:sz="0" w:space="0" w:color="auto"/>
        <w:bottom w:val="none" w:sz="0" w:space="0" w:color="auto"/>
        <w:right w:val="none" w:sz="0" w:space="0" w:color="auto"/>
      </w:divBdr>
    </w:div>
    <w:div w:id="1314480100">
      <w:bodyDiv w:val="1"/>
      <w:marLeft w:val="0"/>
      <w:marRight w:val="0"/>
      <w:marTop w:val="0"/>
      <w:marBottom w:val="0"/>
      <w:divBdr>
        <w:top w:val="none" w:sz="0" w:space="0" w:color="auto"/>
        <w:left w:val="none" w:sz="0" w:space="0" w:color="auto"/>
        <w:bottom w:val="none" w:sz="0" w:space="0" w:color="auto"/>
        <w:right w:val="none" w:sz="0" w:space="0" w:color="auto"/>
      </w:divBdr>
    </w:div>
    <w:div w:id="1395085239">
      <w:bodyDiv w:val="1"/>
      <w:marLeft w:val="0"/>
      <w:marRight w:val="0"/>
      <w:marTop w:val="0"/>
      <w:marBottom w:val="0"/>
      <w:divBdr>
        <w:top w:val="none" w:sz="0" w:space="0" w:color="auto"/>
        <w:left w:val="none" w:sz="0" w:space="0" w:color="auto"/>
        <w:bottom w:val="none" w:sz="0" w:space="0" w:color="auto"/>
        <w:right w:val="none" w:sz="0" w:space="0" w:color="auto"/>
      </w:divBdr>
    </w:div>
    <w:div w:id="1465083401">
      <w:bodyDiv w:val="1"/>
      <w:marLeft w:val="0"/>
      <w:marRight w:val="0"/>
      <w:marTop w:val="0"/>
      <w:marBottom w:val="0"/>
      <w:divBdr>
        <w:top w:val="none" w:sz="0" w:space="0" w:color="auto"/>
        <w:left w:val="none" w:sz="0" w:space="0" w:color="auto"/>
        <w:bottom w:val="none" w:sz="0" w:space="0" w:color="auto"/>
        <w:right w:val="none" w:sz="0" w:space="0" w:color="auto"/>
      </w:divBdr>
    </w:div>
    <w:div w:id="174676033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74">
          <w:marLeft w:val="-480"/>
          <w:marRight w:val="0"/>
          <w:marTop w:val="0"/>
          <w:marBottom w:val="0"/>
          <w:divBdr>
            <w:top w:val="none" w:sz="0" w:space="0" w:color="auto"/>
            <w:left w:val="none" w:sz="0" w:space="0" w:color="auto"/>
            <w:bottom w:val="none" w:sz="0" w:space="0" w:color="auto"/>
            <w:right w:val="none" w:sz="0" w:space="0" w:color="auto"/>
          </w:divBdr>
          <w:divsChild>
            <w:div w:id="6975088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68853475">
      <w:bodyDiv w:val="1"/>
      <w:marLeft w:val="0"/>
      <w:marRight w:val="0"/>
      <w:marTop w:val="0"/>
      <w:marBottom w:val="0"/>
      <w:divBdr>
        <w:top w:val="none" w:sz="0" w:space="0" w:color="auto"/>
        <w:left w:val="none" w:sz="0" w:space="0" w:color="auto"/>
        <w:bottom w:val="none" w:sz="0" w:space="0" w:color="auto"/>
        <w:right w:val="none" w:sz="0" w:space="0" w:color="auto"/>
      </w:divBdr>
    </w:div>
    <w:div w:id="2126347072">
      <w:bodyDiv w:val="1"/>
      <w:marLeft w:val="0"/>
      <w:marRight w:val="0"/>
      <w:marTop w:val="0"/>
      <w:marBottom w:val="0"/>
      <w:divBdr>
        <w:top w:val="none" w:sz="0" w:space="0" w:color="auto"/>
        <w:left w:val="none" w:sz="0" w:space="0" w:color="auto"/>
        <w:bottom w:val="none" w:sz="0" w:space="0" w:color="auto"/>
        <w:right w:val="none" w:sz="0" w:space="0" w:color="auto"/>
      </w:divBdr>
      <w:divsChild>
        <w:div w:id="357776774">
          <w:marLeft w:val="0"/>
          <w:marRight w:val="0"/>
          <w:marTop w:val="0"/>
          <w:marBottom w:val="0"/>
          <w:divBdr>
            <w:top w:val="none" w:sz="0" w:space="0" w:color="auto"/>
            <w:left w:val="none" w:sz="0" w:space="0" w:color="auto"/>
            <w:bottom w:val="none" w:sz="0" w:space="0" w:color="auto"/>
            <w:right w:val="none" w:sz="0" w:space="0" w:color="auto"/>
          </w:divBdr>
          <w:divsChild>
            <w:div w:id="808936796">
              <w:marLeft w:val="0"/>
              <w:marRight w:val="0"/>
              <w:marTop w:val="0"/>
              <w:marBottom w:val="0"/>
              <w:divBdr>
                <w:top w:val="none" w:sz="0" w:space="0" w:color="auto"/>
                <w:left w:val="none" w:sz="0" w:space="0" w:color="auto"/>
                <w:bottom w:val="none" w:sz="0" w:space="0" w:color="auto"/>
                <w:right w:val="none" w:sz="0" w:space="0" w:color="auto"/>
              </w:divBdr>
              <w:divsChild>
                <w:div w:id="3679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ea.org/reports/energy-efficiency-2021/executive-summar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ea.org/reports/world-energy-investment-2021/executive-summar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0982B-81BC-476A-B2A0-5414CAB3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Concierge</dc:creator>
  <cp:keywords/>
  <dc:description/>
  <cp:lastModifiedBy>talha tallat</cp:lastModifiedBy>
  <cp:revision>2</cp:revision>
  <dcterms:created xsi:type="dcterms:W3CDTF">2022-01-17T12:03:00Z</dcterms:created>
  <dcterms:modified xsi:type="dcterms:W3CDTF">2022-01-17T12:03:00Z</dcterms:modified>
</cp:coreProperties>
</file>