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2"/>
          <w:szCs w:val="32"/>
        </w:rPr>
        <w:t xml:space="preserve">DATA COMPARISON MEMORANDUM</w:t>
      </w:r>
    </w:p>
    <w:p>
      <w:pPr>
        <w:spacing w:after="40"/>
        <w:jc w:val="center"/>
      </w:pPr>
      <w:r>
        <w:rPr>
          <w:rFonts w:ascii="Calibri" w:cs="Calibri" w:eastAsia="Calibri" w:hAnsi="Calibri"/>
          <w:color w:val="CC0000"/>
          <w:sz w:val="18"/>
          <w:szCs w:val="18"/>
        </w:rPr>
        <w:t xml:space="preserve">CONFIDENTIAL — PREPARED FOR JOURNALISTIC REVIEW</w:t>
      </w:r>
    </w:p>
    <w:p>
      <w:pPr>
        <w:pBdr>
          <w:bottom w:val="single" w:color="2E75B6" w:sz="6" w:space="8"/>
        </w:pBdr>
        <w:spacing w:after="200"/>
      </w:pPr>
    </w:p>
    <w:p>
      <w:pPr>
        <w:spacing w:after="40"/>
      </w:pPr>
      <w:r>
        <w:rPr>
          <w:b/>
          <w:bCs/>
          <w:sz w:val="20"/>
          <w:szCs w:val="20"/>
        </w:rPr>
        <w:t xml:space="preserve">Prepared by: </w:t>
      </w:r>
      <w:r>
        <w:rPr>
          <w:sz w:val="20"/>
          <w:szCs w:val="20"/>
        </w:rPr>
        <w:t xml:space="preserve">[SOURCE — NAME REDACTED]</w:t>
      </w:r>
    </w:p>
    <w:p>
      <w:pPr>
        <w:spacing w:after="40"/>
      </w:pPr>
      <w:r>
        <w:rPr>
          <w:b/>
          <w:bCs/>
          <w:sz w:val="20"/>
          <w:szCs w:val="20"/>
        </w:rPr>
        <w:t xml:space="preserve">Date prepared: </w:t>
      </w:r>
      <w:r>
        <w:rPr>
          <w:sz w:val="20"/>
          <w:szCs w:val="20"/>
        </w:rPr>
        <w:t xml:space="preserve">April 20, 2025</w:t>
      </w:r>
    </w:p>
    <w:p>
      <w:pPr>
        <w:spacing w:after="200"/>
      </w:pPr>
      <w:r>
        <w:rPr>
          <w:b/>
          <w:bCs/>
          <w:sz w:val="20"/>
          <w:szCs w:val="20"/>
        </w:rPr>
        <w:t xml:space="preserve">Classification: </w:t>
      </w:r>
      <w:r>
        <w:rPr>
          <w:color w:val="CC0000"/>
          <w:sz w:val="20"/>
          <w:szCs w:val="20"/>
        </w:rPr>
        <w:t xml:space="preserve">Confidential</w:t>
      </w:r>
    </w:p>
    <w:p>
      <w:pPr>
        <w:pStyle w:val="Heading1"/>
      </w:pPr>
      <w:r>
        <w:t xml:space="preserve">Purpose</w:t>
      </w:r>
    </w:p>
    <w:p>
      <w:pPr>
        <w:spacing w:after="120"/>
      </w:pPr>
      <w:r>
        <w:t xml:space="preserve">This document compares the raw experimental data from our laboratory records with the values published in:</w:t>
      </w:r>
    </w:p>
    <w:p>
      <w:pPr>
        <w:spacing w:after="120"/>
        <w:ind w:left="360"/>
      </w:pPr>
      <w:r>
        <w:rPr>
          <w:i/>
          <w:iCs/>
        </w:rPr>
        <w:t xml:space="preserve">Hargrove M, [Redacted] et al. "CRISPR-Cas9-mediated HTT silencing demonstrates dose-dependent motor recovery in the R6/2 Huntington’s disease model." The Lancet Neurology, June 2025.</w:t>
      </w:r>
    </w:p>
    <w:p>
      <w:pPr>
        <w:spacing w:after="200"/>
      </w:pPr>
      <w:r>
        <w:t xml:space="preserve">I prepared this comparison after identifying discrepancies between my analysis files and the submitted manuscript. All raw values below are taken directly from the original data files stored on the laboratory shared drive (path: \\ashworth-bio-fs1\hargrove-lab\HD-CRISPR\raw-data\). I exported these files on April 18, 2025, and retain timestamped copies.</w:t>
      </w:r>
    </w:p>
    <w:p>
      <w:pPr>
        <w:pStyle w:val="Heading1"/>
      </w:pPr>
      <w:r>
        <w:t xml:space="preserve">Discrepancy 1: Western Blot Quantification</w:t>
      </w:r>
    </w:p>
    <w:p>
      <w:pPr>
        <w:spacing w:after="60"/>
      </w:pPr>
      <w:r>
        <w:rPr>
          <w:i/>
          <w:iCs/>
          <w:color w:val="555555"/>
        </w:rPr>
        <w:t xml:space="preserve">Figure 2, Panel B — Striatal mHTT protein reduction, 50mg/kg dose group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853"/>
        <w:gridCol w:w="2853"/>
      </w:tblGrid>
      <w:tr>
        <w:tc>
          <w:tcPr>
            <w:tcW w:type="dxa" w:w="3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Metric</w:t>
            </w:r>
          </w:p>
        </w:tc>
        <w:tc>
          <w:tcPr>
            <w:tcW w:type="dxa" w:w="28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Published Value</w:t>
            </w:r>
          </w:p>
        </w:tc>
        <w:tc>
          <w:tcPr>
            <w:tcW w:type="dxa" w:w="28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Raw Data Value</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Mean reduction (± SEM)</w:t>
            </w:r>
          </w:p>
        </w:tc>
        <w:tc>
          <w:tcPr>
            <w:tcW w:type="dxa" w:w="28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58.3% ± 4.1%</w:t>
            </w:r>
          </w:p>
        </w:tc>
        <w:tc>
          <w:tcPr>
            <w:tcW w:type="dxa" w:w="28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49.7% ± 6.8%</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Difference</w:t>
            </w:r>
          </w:p>
        </w:tc>
        <w:tc>
          <w:tcPr>
            <w:tcW w:type="dxa" w:w="5706"/>
            <w:gridSpan w:val="2"/>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b/>
                <w:bCs/>
                <w:color w:val="CC0000"/>
                <w:sz w:val="20"/>
                <w:szCs w:val="20"/>
              </w:rPr>
              <w:t xml:space="preserve">+8.6 pp efficacy; SEM reduced by 2.7 pp</w:t>
            </w:r>
          </w:p>
        </w:tc>
      </w:tr>
    </w:tbl>
    <w:p>
      <w:pPr>
        <w:spacing w:after="60" w:before="120"/>
      </w:pPr>
      <w:r>
        <w:rPr>
          <w:b/>
          <w:bCs/>
        </w:rPr>
        <w:t xml:space="preserve">Explanation: </w:t>
      </w:r>
      <w:r>
        <w:t xml:space="preserve">Nine data points were excluded from the raw dataset at Prof. Hargrove’s instruction (see email dated February 18, 2025). Three of these exclusions were from the 50mg/kg cohort. With all nine points included, the mean reduction is 49.7%. With the exclusions applied, the mean rises to 58.3% and the error bars narrow substantially.</w:t>
      </w:r>
    </w:p>
    <w:p>
      <w:pPr>
        <w:spacing w:after="200"/>
      </w:pPr>
      <w:r>
        <w:rPr>
          <w:b/>
          <w:bCs/>
        </w:rPr>
        <w:t xml:space="preserve">Assessment: </w:t>
      </w:r>
      <w:r>
        <w:t xml:space="preserve">The exclusion criterion (CV &gt; 15%) was applied post hoc. I have reviewed the original gel images for the three excluded 50mg/kg data points. Two of the three show clean, well-defined bands with no visible signs of contamination, degradation, or loading error. The third shows mild background staining but is within the range of variability seen in the included data points.</w:t>
      </w:r>
    </w:p>
    <w:p>
      <w:pPr>
        <w:pStyle w:val="Heading1"/>
      </w:pPr>
      <w:r>
        <w:t xml:space="preserve">Discrepancy 2: Dose-Response Curve</w:t>
      </w:r>
    </w:p>
    <w:p>
      <w:pPr>
        <w:spacing w:after="60"/>
      </w:pPr>
      <w:r>
        <w:rPr>
          <w:i/>
          <w:iCs/>
          <w:color w:val="555555"/>
        </w:rPr>
        <w:t xml:space="preserve">Figure 3 — Motor function improvement across dose groups (rotarod assay)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853"/>
        <w:gridCol w:w="2853"/>
      </w:tblGrid>
      <w:tr>
        <w:tc>
          <w:tcPr>
            <w:tcW w:type="dxa" w:w="3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Detail</w:t>
            </w:r>
          </w:p>
        </w:tc>
        <w:tc>
          <w:tcPr>
            <w:tcW w:type="dxa" w:w="28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Published</w:t>
            </w:r>
          </w:p>
        </w:tc>
        <w:tc>
          <w:tcPr>
            <w:tcW w:type="dxa" w:w="28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Raw Data</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Dose groups included</w:t>
            </w:r>
          </w:p>
        </w:tc>
        <w:tc>
          <w:tcPr>
            <w:tcW w:type="dxa" w:w="28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4 groups</w:t>
            </w:r>
          </w:p>
        </w:tc>
        <w:tc>
          <w:tcPr>
            <w:tcW w:type="dxa" w:w="28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5 groups</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R² value</w:t>
            </w:r>
          </w:p>
        </w:tc>
        <w:tc>
          <w:tcPr>
            <w:tcW w:type="dxa" w:w="28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0.93</w:t>
            </w:r>
          </w:p>
        </w:tc>
        <w:tc>
          <w:tcPr>
            <w:tcW w:type="dxa" w:w="28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0.71</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Excluded group (25mg/kg)</w:t>
            </w:r>
          </w:p>
        </w:tc>
        <w:tc>
          <w:tcPr>
            <w:tcW w:type="dxa" w:w="5706"/>
            <w:gridSpan w:val="2"/>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b/>
                <w:bCs/>
                <w:color w:val="CC0000"/>
                <w:sz w:val="20"/>
                <w:szCs w:val="20"/>
              </w:rPr>
              <w:t xml:space="preserve">12.4% ± 5.2% improvement (lower than 10mg/kg group)</w:t>
            </w:r>
          </w:p>
        </w:tc>
      </w:tr>
    </w:tbl>
    <w:p>
      <w:pPr>
        <w:spacing w:after="60" w:before="120"/>
      </w:pPr>
      <w:r>
        <w:rPr>
          <w:b/>
          <w:bCs/>
        </w:rPr>
        <w:t xml:space="preserve">Stated justification: </w:t>
      </w:r>
      <w:r>
        <w:t xml:space="preserve">Housing disruption in animal facility during week 3 of treatment (HVAC failure causing temperature fluctuation on March 3–4, 2025).</w:t>
      </w:r>
    </w:p>
    <w:p>
      <w:pPr>
        <w:spacing w:after="200"/>
      </w:pPr>
      <w:r>
        <w:rPr>
          <w:b/>
          <w:bCs/>
        </w:rPr>
        <w:t xml:space="preserve">Assessment: </w:t>
      </w:r>
      <w:r>
        <w:t xml:space="preserve">I reviewed the animal facility incident log. The HVAC failure affected all animals in Room 2B, which housed the vehicle, 10mg/kg, 25mg/kg, AND 50mg/kg groups. Only the 100mg/kg group was in Room 2C (unaffected). If housing disruption were a legitimate basis for exclusion, three of the four remaining dose groups would also need to be excluded. Only the 25mg/kg group — the group with the least favorable results — was removed.</w:t>
      </w:r>
    </w:p>
    <w:p>
      <w:pPr>
        <w:pStyle w:val="Heading1"/>
      </w:pPr>
      <w:r>
        <w:t xml:space="preserve">Discrepancy 3: Behavioral Assay</w:t>
      </w:r>
    </w:p>
    <w:p>
      <w:pPr>
        <w:spacing w:after="60"/>
      </w:pPr>
      <w:r>
        <w:rPr>
          <w:i/>
          <w:iCs/>
          <w:color w:val="555555"/>
        </w:rPr>
        <w:t xml:space="preserve">Figure 4 — Rotarod performance, 100mg/kg dose group, 8-week endpoint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853"/>
        <w:gridCol w:w="2853"/>
      </w:tblGrid>
      <w:tr>
        <w:tc>
          <w:tcPr>
            <w:tcW w:type="dxa" w:w="3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Metric</w:t>
            </w:r>
          </w:p>
        </w:tc>
        <w:tc>
          <w:tcPr>
            <w:tcW w:type="dxa" w:w="28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Published</w:t>
            </w:r>
          </w:p>
        </w:tc>
        <w:tc>
          <w:tcPr>
            <w:tcW w:type="dxa" w:w="285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Raw Data</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Mean improvement</w:t>
            </w:r>
          </w:p>
        </w:tc>
        <w:tc>
          <w:tcPr>
            <w:tcW w:type="dxa" w:w="28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47.3%</w:t>
            </w:r>
          </w:p>
        </w:tc>
        <w:tc>
          <w:tcPr>
            <w:tcW w:type="dxa" w:w="285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38.1%</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Using day -3 baseline</w:t>
            </w:r>
          </w:p>
        </w:tc>
        <w:tc>
          <w:tcPr>
            <w:tcW w:type="dxa" w:w="5706"/>
            <w:gridSpan w:val="2"/>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b/>
                <w:bCs/>
                <w:color w:val="CC0000"/>
                <w:sz w:val="20"/>
                <w:szCs w:val="20"/>
              </w:rPr>
              <w:t xml:space="preserve">Recalculated: 46.9% (still does not match 47.3%)</w:t>
            </w:r>
          </w:p>
        </w:tc>
      </w:tr>
    </w:tbl>
    <w:p>
      <w:pPr>
        <w:spacing w:after="60" w:before="120"/>
      </w:pPr>
      <w:r>
        <w:rPr>
          <w:b/>
          <w:bCs/>
        </w:rPr>
        <w:t xml:space="preserve">Explanation: </w:t>
      </w:r>
      <w:r>
        <w:t xml:space="preserve">Prof. Hargrove informed me on April 14 that he had personally updated Figure 4 using day -3 pre-treatment values rather than the day -1 values used in my original analysis and in all prior lab publications.</w:t>
      </w:r>
    </w:p>
    <w:p>
      <w:pPr>
        <w:spacing w:after="200"/>
      </w:pPr>
      <w:r>
        <w:rPr>
          <w:b/>
          <w:bCs/>
        </w:rPr>
        <w:t xml:space="preserve">Assessment: </w:t>
      </w:r>
      <w:r>
        <w:t xml:space="preserve">Day -1 baseline normalization is standard in rotarod assays for this disease model. A PubMed search of the 15 most-cited R6/2 rotarod studies published between 2020 and 2025 shows that 14 of 15 use day -1 baselines. Day -3 baselines capture a period when animals are still acclimating to the testing apparatus, producing lower baseline scores and thereby inflating apparent improvement. Even using day -3 normalization, I cannot reproduce the exact published value of 47.3%. The remaining 0.4 percentage point difference is unexplained.</w:t>
      </w:r>
    </w:p>
    <w:p>
      <w:pPr>
        <w:pStyle w:val="Heading1"/>
      </w:pPr>
      <w:r>
        <w:t xml:space="preserve">Discrepancy 4: Sample Sizes</w:t>
      </w:r>
    </w:p>
    <w:p>
      <w:pPr>
        <w:spacing w:after="60"/>
      </w:pPr>
      <w:r>
        <w:rPr>
          <w:i/>
          <w:iCs/>
          <w:color w:val="555555"/>
        </w:rPr>
        <w:t xml:space="preserve">Supplementary Table S2 — Animal numbers per group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7"/>
        <w:gridCol w:w="2377"/>
      </w:tblGrid>
      <w:tr>
        <w:tc>
          <w:tcPr>
            <w:tcW w:type="dxa" w:w="237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Group</w:t>
            </w:r>
          </w:p>
        </w:tc>
        <w:tc>
          <w:tcPr>
            <w:tcW w:type="dxa" w:w="237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Published n</w:t>
            </w:r>
          </w:p>
        </w:tc>
        <w:tc>
          <w:tcPr>
            <w:tcW w:type="dxa" w:w="237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Actual n</w:t>
            </w:r>
          </w:p>
        </w:tc>
        <w:tc>
          <w:tcPr>
            <w:tcW w:type="dxa" w:w="2377"/>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0"/>
                <w:szCs w:val="20"/>
              </w:rPr>
              <w:t xml:space="preserve">Status</w:t>
            </w:r>
          </w:p>
        </w:tc>
      </w:tr>
      <w:tr>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Vehicle</w:t>
            </w:r>
          </w:p>
        </w:tc>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w:t>
            </w:r>
          </w:p>
        </w:tc>
        <w:tc>
          <w:tcPr>
            <w:tcW w:type="dxa" w:w="23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w:t>
            </w:r>
          </w:p>
        </w:tc>
        <w:tc>
          <w:tcPr>
            <w:tcW w:type="dxa" w:w="23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0"/>
                <w:szCs w:val="20"/>
              </w:rPr>
              <w:t xml:space="preserve">Consistent</w:t>
            </w:r>
          </w:p>
        </w:tc>
      </w:tr>
      <w:tr>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10mg/kg</w:t>
            </w:r>
          </w:p>
        </w:tc>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w:t>
            </w:r>
          </w:p>
        </w:tc>
        <w:tc>
          <w:tcPr>
            <w:tcW w:type="dxa" w:w="23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w:t>
            </w:r>
          </w:p>
        </w:tc>
        <w:tc>
          <w:tcPr>
            <w:tcW w:type="dxa" w:w="23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0"/>
                <w:szCs w:val="20"/>
              </w:rPr>
              <w:t xml:space="preserve">Consistent</w:t>
            </w:r>
          </w:p>
        </w:tc>
      </w:tr>
      <w:tr>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25mg/kg</w:t>
            </w:r>
          </w:p>
        </w:tc>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w:t>
            </w:r>
          </w:p>
        </w:tc>
        <w:tc>
          <w:tcPr>
            <w:tcW w:type="dxa" w:w="23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8</w:t>
            </w:r>
          </w:p>
        </w:tc>
        <w:tc>
          <w:tcPr>
            <w:tcW w:type="dxa" w:w="2377"/>
            <w:tcBorders>
              <w:top w:val="single" w:color="999999" w:sz="1"/>
              <w:left w:val="single" w:color="999999" w:sz="1"/>
              <w:bottom w:val="single" w:color="999999" w:sz="1"/>
              <w:right w:val="single" w:color="999999" w:sz="1"/>
            </w:tcBorders>
            <w:shd w:fill="FFCCCC" w:val="clear"/>
            <w:tcMar>
              <w:top w:type="dxa" w:w="60"/>
              <w:left w:type="dxa" w:w="100"/>
              <w:bottom w:type="dxa" w:w="60"/>
              <w:right w:type="dxa" w:w="100"/>
            </w:tcMar>
          </w:tcPr>
          <w:p>
            <w:r>
              <w:rPr>
                <w:b/>
                <w:bCs/>
                <w:color w:val="CC0000"/>
                <w:sz w:val="20"/>
                <w:szCs w:val="20"/>
              </w:rPr>
              <w:t xml:space="preserve">DISCREPANT</w:t>
            </w:r>
          </w:p>
        </w:tc>
      </w:tr>
      <w:tr>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50mg/kg</w:t>
            </w:r>
          </w:p>
        </w:tc>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w:t>
            </w:r>
          </w:p>
        </w:tc>
        <w:tc>
          <w:tcPr>
            <w:tcW w:type="dxa" w:w="23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11</w:t>
            </w:r>
          </w:p>
        </w:tc>
        <w:tc>
          <w:tcPr>
            <w:tcW w:type="dxa" w:w="2377"/>
            <w:tcBorders>
              <w:top w:val="single" w:color="999999" w:sz="1"/>
              <w:left w:val="single" w:color="999999" w:sz="1"/>
              <w:bottom w:val="single" w:color="999999" w:sz="1"/>
              <w:right w:val="single" w:color="999999" w:sz="1"/>
            </w:tcBorders>
            <w:shd w:fill="FFCCCC" w:val="clear"/>
            <w:tcMar>
              <w:top w:type="dxa" w:w="60"/>
              <w:left w:type="dxa" w:w="100"/>
              <w:bottom w:type="dxa" w:w="60"/>
              <w:right w:type="dxa" w:w="100"/>
            </w:tcMar>
          </w:tcPr>
          <w:p>
            <w:r>
              <w:rPr>
                <w:b/>
                <w:bCs/>
                <w:color w:val="CC0000"/>
                <w:sz w:val="20"/>
                <w:szCs w:val="20"/>
              </w:rPr>
              <w:t xml:space="preserve">DISCREPANT</w:t>
            </w:r>
          </w:p>
        </w:tc>
      </w:tr>
      <w:tr>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100mg/kg</w:t>
            </w:r>
          </w:p>
        </w:tc>
        <w:tc>
          <w:tcPr>
            <w:tcW w:type="dxa" w:w="23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w:t>
            </w:r>
          </w:p>
        </w:tc>
        <w:tc>
          <w:tcPr>
            <w:tcW w:type="dxa" w:w="23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w:t>
            </w:r>
          </w:p>
        </w:tc>
        <w:tc>
          <w:tcPr>
            <w:tcW w:type="dxa" w:w="237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0"/>
                <w:szCs w:val="20"/>
              </w:rPr>
              <w:t xml:space="preserve">Consistent</w:t>
            </w:r>
          </w:p>
        </w:tc>
      </w:tr>
    </w:tbl>
    <w:p>
      <w:pPr>
        <w:spacing w:after="200" w:before="120"/>
      </w:pPr>
      <w:r>
        <w:rPr>
          <w:b/>
          <w:bCs/>
        </w:rPr>
        <w:t xml:space="preserve">Assessment: </w:t>
      </w:r>
      <w:r>
        <w:t xml:space="preserve">The 25mg/kg group only ever had 8 animals enrolled but is reported as n=12. The 50mg/kg group lost one animal at week 5 (cause: malocclusion, unrelated to treatment) but is reported as n=12. These are factual errors in the published record.</w:t>
      </w:r>
    </w:p>
    <w:p>
      <w:pPr>
        <w:pBdr>
          <w:top w:val="single" w:color="2E75B6" w:sz="6" w:space="8"/>
        </w:pBdr>
        <w:spacing w:before="200"/>
      </w:pPr>
    </w:p>
    <w:p>
      <w:pPr>
        <w:pStyle w:val="Heading1"/>
      </w:pPr>
      <w:r>
        <w:t xml:space="preserve">Summary</w:t>
      </w:r>
    </w:p>
    <w:p>
      <w:pPr>
        <w:spacing w:after="120"/>
      </w:pPr>
      <w:r>
        <w:t xml:space="preserve">Four categories of discrepancy have been identified: (1) post hoc exclusion of data points that were not contaminated, inflating efficacy; (2) removal of an entire dose group on a justification that applies equally to other groups; (3) non-standard baseline normalization applied without co-author knowledge, inflating improvement; (4) incorrect sample sizes in supplementary materials.</w:t>
      </w:r>
    </w:p>
    <w:p>
      <w:pPr>
        <w:spacing w:after="120"/>
      </w:pPr>
      <w:r>
        <w:rPr>
          <w:b/>
          <w:bCs/>
          <w:color w:val="CC0000"/>
        </w:rPr>
        <w:t xml:space="preserve">Critically, every discrepancy moves in the same direction: all inflate the apparent efficacy of the treatment. There are no discrepancies that reduce efficacy.</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2026-04-15T11:47:32.235Z</dcterms:created>
  <dcterms:modified xsi:type="dcterms:W3CDTF">2026-04-15T11:47:32.236Z</dcterms:modified>
</cp:coreProperties>
</file>

<file path=docProps/custom.xml><?xml version="1.0" encoding="utf-8"?>
<Properties xmlns="http://schemas.openxmlformats.org/officeDocument/2006/custom-properties" xmlns:vt="http://schemas.openxmlformats.org/officeDocument/2006/docPropsVTypes"/>
</file>