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1D0F" w14:textId="460C2F92" w:rsidR="004948C9" w:rsidRDefault="002B5669" w:rsidP="002B5669">
      <w:pPr>
        <w:spacing w:line="480" w:lineRule="auto"/>
        <w:rPr>
          <w:rFonts w:ascii="Times New Roman" w:hAnsi="Times New Roman" w:cs="Times New Roman"/>
        </w:rPr>
      </w:pPr>
      <w:r w:rsidRPr="002B5669">
        <w:rPr>
          <w:rFonts w:ascii="Times New Roman" w:hAnsi="Times New Roman" w:cs="Times New Roman"/>
        </w:rPr>
        <w:t>Talia McCarthy-Wielenga</w:t>
      </w:r>
    </w:p>
    <w:p w14:paraId="2B3F1E59" w14:textId="1C0C987A" w:rsidR="002B5669" w:rsidRDefault="002B5669" w:rsidP="002B5669">
      <w:pPr>
        <w:spacing w:line="480" w:lineRule="auto"/>
        <w:rPr>
          <w:rFonts w:ascii="Times New Roman" w:hAnsi="Times New Roman" w:cs="Times New Roman"/>
        </w:rPr>
      </w:pPr>
      <w:r>
        <w:rPr>
          <w:rFonts w:ascii="Times New Roman" w:hAnsi="Times New Roman" w:cs="Times New Roman"/>
        </w:rPr>
        <w:t>CS 499</w:t>
      </w:r>
    </w:p>
    <w:p w14:paraId="489BECDA" w14:textId="5CF1D444" w:rsidR="002B5669" w:rsidRDefault="002B5669" w:rsidP="002B5669">
      <w:pPr>
        <w:spacing w:line="480" w:lineRule="auto"/>
        <w:rPr>
          <w:rFonts w:ascii="Times New Roman" w:hAnsi="Times New Roman" w:cs="Times New Roman"/>
        </w:rPr>
      </w:pPr>
      <w:r>
        <w:rPr>
          <w:rFonts w:ascii="Times New Roman" w:hAnsi="Times New Roman" w:cs="Times New Roman"/>
        </w:rPr>
        <w:t>Milestone Three</w:t>
      </w:r>
    </w:p>
    <w:p w14:paraId="11846C73" w14:textId="319B1EA4" w:rsidR="002B5669" w:rsidRDefault="002B5669" w:rsidP="002B5669">
      <w:pPr>
        <w:spacing w:line="480" w:lineRule="auto"/>
        <w:rPr>
          <w:rFonts w:ascii="Times New Roman" w:hAnsi="Times New Roman" w:cs="Times New Roman"/>
        </w:rPr>
      </w:pPr>
      <w:r>
        <w:rPr>
          <w:rFonts w:ascii="Times New Roman" w:hAnsi="Times New Roman" w:cs="Times New Roman"/>
        </w:rPr>
        <w:t>September 26, 2026</w:t>
      </w:r>
    </w:p>
    <w:p w14:paraId="32A81857" w14:textId="20D912A4" w:rsidR="002B5669" w:rsidRDefault="002B5669" w:rsidP="002B5669">
      <w:pPr>
        <w:spacing w:line="480" w:lineRule="auto"/>
        <w:rPr>
          <w:rFonts w:ascii="Times New Roman" w:hAnsi="Times New Roman" w:cs="Times New Roman"/>
        </w:rPr>
      </w:pPr>
      <w:r>
        <w:rPr>
          <w:rFonts w:ascii="Times New Roman" w:hAnsi="Times New Roman" w:cs="Times New Roman"/>
        </w:rPr>
        <w:t xml:space="preserve">The artifact selected for enhancement is the Artemis Financial Secure Spring Boot Server, originally engineered during my time in CS 305: Software Security. The software functions as a secure backend microservice designed to handle sensitive operational data, manage system logs, and provide cryptographic verification metrics. In its original state, the application functioned within a monolithic single-file layout under SslServerApplication.java. This single file housed the server startup configuration, </w:t>
      </w:r>
      <w:proofErr w:type="gramStart"/>
      <w:r>
        <w:rPr>
          <w:rFonts w:ascii="Times New Roman" w:hAnsi="Times New Roman" w:cs="Times New Roman"/>
        </w:rPr>
        <w:t>a</w:t>
      </w:r>
      <w:proofErr w:type="gramEnd"/>
      <w:r>
        <w:rPr>
          <w:rFonts w:ascii="Times New Roman" w:hAnsi="Times New Roman" w:cs="Times New Roman"/>
        </w:rPr>
        <w:t xml:space="preserve"> RST controller endpoint configuration, and a hardcoded cryptographic routine designed to return a fixed SHA-256 integrity checksum wrapped inside unformatted HTML response text. While it established an HTTPS network socket, it completely lacked modular decoupling, dynamic parameter structures, data streaming mechanics, and reliable persistence capabilities. </w:t>
      </w:r>
    </w:p>
    <w:p w14:paraId="3601B703" w14:textId="191D32EE" w:rsidR="002B5669" w:rsidRPr="002B5669" w:rsidRDefault="002B5669" w:rsidP="002B5669">
      <w:pPr>
        <w:spacing w:line="480" w:lineRule="auto"/>
        <w:rPr>
          <w:rFonts w:ascii="Times New Roman" w:hAnsi="Times New Roman" w:cs="Times New Roman"/>
        </w:rPr>
      </w:pPr>
      <w:r w:rsidRPr="002B5669">
        <w:rPr>
          <w:rFonts w:ascii="Times New Roman" w:hAnsi="Times New Roman" w:cs="Times New Roman"/>
        </w:rPr>
        <w:t xml:space="preserve">The Artemis Financial server is included in the ePortfolio because it represents a production-ready demonstration of the critical intersection between advanced security architectures and optimized algorithmic design. Demonstrating proficiency in re-architecting coupled, legacy source structures into modular, high-efficiency corporate assets directly signals readiness for an industry-level software engineering role, particularly within highly regulated sectors such as healthcare informatics and medical device data transit. While Milestone Two successfully addressed basic Software Design and Engineering principles via multi-tier package separation, </w:t>
      </w:r>
      <w:r w:rsidRPr="002B5669">
        <w:rPr>
          <w:rFonts w:ascii="Times New Roman" w:hAnsi="Times New Roman" w:cs="Times New Roman"/>
        </w:rPr>
        <w:lastRenderedPageBreak/>
        <w:t xml:space="preserve">the Milestone Three refactoring process </w:t>
      </w:r>
      <w:r w:rsidRPr="002B5669">
        <w:rPr>
          <w:rFonts w:ascii="Times New Roman" w:hAnsi="Times New Roman" w:cs="Times New Roman"/>
        </w:rPr>
        <w:t>shows</w:t>
      </w:r>
      <w:r w:rsidRPr="002B5669">
        <w:rPr>
          <w:rFonts w:ascii="Times New Roman" w:hAnsi="Times New Roman" w:cs="Times New Roman"/>
        </w:rPr>
        <w:t xml:space="preserve"> specific capabilities in the domain of algorithms and data structures.</w:t>
      </w:r>
    </w:p>
    <w:p w14:paraId="7AD6B891" w14:textId="77777777" w:rsidR="002B5669" w:rsidRPr="002B5669" w:rsidRDefault="002B5669" w:rsidP="002B5669">
      <w:pPr>
        <w:spacing w:line="480" w:lineRule="auto"/>
        <w:rPr>
          <w:rFonts w:ascii="Times New Roman" w:hAnsi="Times New Roman" w:cs="Times New Roman"/>
        </w:rPr>
      </w:pPr>
      <w:r w:rsidRPr="002B5669">
        <w:rPr>
          <w:rFonts w:ascii="Times New Roman" w:hAnsi="Times New Roman" w:cs="Times New Roman"/>
        </w:rPr>
        <w:t>Guided by direct instructor feedback, the core cryptographic engine was re-engineered using a strict Strategy Pattern layout to enforce algorithmic separation and boundary management. This architecture establishes a clear division between message digest hashing contracts under HashStrategy, used for data integrity validation, and symmetric encryption blocks under EncryptionStrategy, used for data confidentiality. Enforcing this distinct structural boundary prevents severe architectural flaws where reversible encryption schemes like AES are erroneously conflated with or substituted for non-reversible hash checksum vectors like SHA-256.</w:t>
      </w:r>
    </w:p>
    <w:p w14:paraId="5562F73E" w14:textId="77777777" w:rsidR="002B5669" w:rsidRPr="002B5669" w:rsidRDefault="002B5669" w:rsidP="002B5669">
      <w:pPr>
        <w:spacing w:line="480" w:lineRule="auto"/>
        <w:rPr>
          <w:rFonts w:ascii="Times New Roman" w:hAnsi="Times New Roman" w:cs="Times New Roman"/>
        </w:rPr>
      </w:pPr>
      <w:r w:rsidRPr="002B5669">
        <w:rPr>
          <w:rFonts w:ascii="Times New Roman" w:hAnsi="Times New Roman" w:cs="Times New Roman"/>
        </w:rPr>
        <w:t>Furthermore, resource optimization was achieved by transitioning the service interfaces from consuming static String data allocations to accepting sequential Java input streams. Transitioning to an InputStream architecture dramatically reduces runtime memory consumption because payloads are processed chunk-by-chunk using a balanced 1KB byte-buffer array. This algorithmic optimization guarantees a near-zero memory heap footprint regardless of data size, eliminating the server overhead liabilities and buffer vulnerability vectors associated with loading whole data blocks into active memory. Finally, algorithmic complexity was addressed at the byte level; low-level utility logic converting binary digest blocks into human-readable hexadecimal formats was optimized away from standard framework formatting methods that force a costly object instantiation for every single byte. It was replaced with high-efficiency bitwise mask shifts and mathematical array lookups, directly prioritizing computational speed and memory safety.</w:t>
      </w:r>
    </w:p>
    <w:p w14:paraId="198D1380" w14:textId="77777777" w:rsidR="002B5669" w:rsidRPr="002B5669" w:rsidRDefault="002B5669" w:rsidP="002B5669">
      <w:pPr>
        <w:spacing w:line="480" w:lineRule="auto"/>
        <w:rPr>
          <w:rFonts w:ascii="Times New Roman" w:hAnsi="Times New Roman" w:cs="Times New Roman"/>
        </w:rPr>
      </w:pPr>
      <w:r>
        <w:rPr>
          <w:rFonts w:ascii="Times New Roman" w:hAnsi="Times New Roman" w:cs="Times New Roman"/>
        </w:rPr>
        <w:lastRenderedPageBreak/>
        <w:t>B</w:t>
      </w:r>
      <w:r w:rsidRPr="002B5669">
        <w:rPr>
          <w:rFonts w:ascii="Times New Roman" w:hAnsi="Times New Roman" w:cs="Times New Roman"/>
        </w:rPr>
        <w:t>uilding immediately upon the structural separation of concerns established in Milestone Two, the application's underlying data processing pathways were completely overhauled to eliminate rigid hardcoding. The web interface layer inside ChecksumController.java was refactored to ingest data blocks and pass them downward as live stream parameters. The service layer was augmented to support dynamic runtime strategy switches via dedicated mutator injection methods. Furthermore, to satisfy database persistence validation tracks, the microservice configuration properties were transitioned from an ephemeral in-memory configuration to a permanent, file-backed local disk storage schema using an H2 file database destination path.</w:t>
      </w:r>
    </w:p>
    <w:p w14:paraId="5431C6F4" w14:textId="77777777" w:rsidR="002B5669" w:rsidRPr="002B5669" w:rsidRDefault="002B5669" w:rsidP="002B5669">
      <w:pPr>
        <w:spacing w:line="480" w:lineRule="auto"/>
        <w:rPr>
          <w:rFonts w:ascii="Times New Roman" w:hAnsi="Times New Roman" w:cs="Times New Roman"/>
        </w:rPr>
      </w:pPr>
      <w:r w:rsidRPr="002B5669">
        <w:rPr>
          <w:rFonts w:ascii="Times New Roman" w:hAnsi="Times New Roman" w:cs="Times New Roman"/>
        </w:rPr>
        <w:t>These technical implementations demonstrate successful fulfillment of and measurable progress toward the course learning outcomes established during Module One. Program Outcome 3, which focuses on data structures and algorithms, was achieved by designing and implementing a dynamic computing solution that evaluates data state integrity via clean algorithmic principles. The implementation expertly manages the engineering trade-offs between architectural abstraction layers and physical execution speed, while utilizing low-level streams to optimize data processing pipelines.</w:t>
      </w:r>
    </w:p>
    <w:p w14:paraId="408507C3" w14:textId="77777777" w:rsidR="002B5669" w:rsidRPr="002B5669" w:rsidRDefault="002B5669" w:rsidP="002B5669">
      <w:pPr>
        <w:spacing w:line="480" w:lineRule="auto"/>
        <w:rPr>
          <w:rFonts w:ascii="Times New Roman" w:hAnsi="Times New Roman" w:cs="Times New Roman"/>
        </w:rPr>
      </w:pPr>
      <w:r w:rsidRPr="002B5669">
        <w:rPr>
          <w:rFonts w:ascii="Times New Roman" w:hAnsi="Times New Roman" w:cs="Times New Roman"/>
        </w:rPr>
        <w:t>Additionally, Program Outcome 5 was refined by developing a security mindset that makes the cryptographic layer resilient against algorithmic obsolescence. By decoupling the hash strategy from the execution service, the system can gracefully phase out or inject updated cryptographic primitives at runtime if an active algorithm is compromised by an adversarial exploit, without breaking the upper web controller layers. Establishing a dedicated automated integration test that simulates hard server context crashes using dirty context tracking ensures that security-critical audit logs reliably survive system reboots, preventing logging evasion vulnerabilities.</w:t>
      </w:r>
    </w:p>
    <w:p w14:paraId="7EB9AB44" w14:textId="589F75E5" w:rsidR="002B5669" w:rsidRDefault="002B5669" w:rsidP="002B5669">
      <w:pPr>
        <w:spacing w:line="480" w:lineRule="auto"/>
        <w:rPr>
          <w:rFonts w:ascii="Times New Roman" w:hAnsi="Times New Roman" w:cs="Times New Roman"/>
        </w:rPr>
      </w:pPr>
      <w:r w:rsidRPr="002B5669">
        <w:rPr>
          <w:rFonts w:ascii="Times New Roman" w:hAnsi="Times New Roman" w:cs="Times New Roman"/>
        </w:rPr>
        <w:lastRenderedPageBreak/>
        <w:t xml:space="preserve">Refactoring core cryptographic data pathways provided valuable insights into the operational mechanics of streaming data </w:t>
      </w:r>
      <w:r w:rsidRPr="002B5669">
        <w:rPr>
          <w:rFonts w:ascii="Times New Roman" w:hAnsi="Times New Roman" w:cs="Times New Roman"/>
        </w:rPr>
        <w:t>architecture</w:t>
      </w:r>
      <w:r w:rsidRPr="002B5669">
        <w:rPr>
          <w:rFonts w:ascii="Times New Roman" w:hAnsi="Times New Roman" w:cs="Times New Roman"/>
        </w:rPr>
        <w:t xml:space="preserve"> and object-oriented design patterns. Enforcing clear interface boundaries presented an initial challenge because designing a unified strategy pattern that accommodated both hashing and encryption threatened to introduce type confusion. Symmetric encryption requires a secret key parameter while message digests do not, which required establishing completely distinct interface pipelines to ensure that the service tier maintains clean, unambiguous entry criteria for each independent cryptographic task.</w:t>
      </w:r>
    </w:p>
    <w:p w14:paraId="10484F1F" w14:textId="2B63539E" w:rsidR="002B5669" w:rsidRPr="002B5669" w:rsidRDefault="002B5669" w:rsidP="002B5669">
      <w:pPr>
        <w:spacing w:line="480" w:lineRule="auto"/>
        <w:rPr>
          <w:rFonts w:ascii="Times New Roman" w:hAnsi="Times New Roman" w:cs="Times New Roman"/>
        </w:rPr>
      </w:pPr>
      <w:r w:rsidRPr="002B5669">
        <w:rPr>
          <w:rFonts w:ascii="Times New Roman" w:hAnsi="Times New Roman" w:cs="Times New Roman"/>
        </w:rPr>
        <w:t>Managing stream lifecycles and preventing resource leaks introduced further technical friction. Working with live input stream properties within a web controller context can introduce subtle memory leaks or socket hangs if streams remain unconsumed during partial network drops. This hazard was mitigated by implementing robust, resource-safe try-with-resources control boundaries across the controller and service boundaries, guaranteeing immediate socket teardown upon routine termination. Finally, achieving durable persistence verification required moving away from a volatile database format. Shifting to a file-backed H2 schema required careful connection delays and configuration tuning to prevent local disk access locks during concurrent execution loops. Building an automated JUnit test harness to prove persistence required utilizing advanced Spring context dirtying mechanisms to verify that records written to the database folder physically survived complete test runner lifecycles.</w:t>
      </w:r>
    </w:p>
    <w:sectPr w:rsidR="002B5669" w:rsidRPr="002B5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DEA"/>
    <w:rsid w:val="002B5669"/>
    <w:rsid w:val="00414800"/>
    <w:rsid w:val="004948C9"/>
    <w:rsid w:val="008D2D5B"/>
    <w:rsid w:val="00FC7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3447"/>
  <w15:chartTrackingRefBased/>
  <w15:docId w15:val="{73D0242E-F852-43E0-B862-5CE387D01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DEA"/>
    <w:rPr>
      <w:rFonts w:eastAsiaTheme="majorEastAsia" w:cstheme="majorBidi"/>
      <w:color w:val="272727" w:themeColor="text1" w:themeTint="D8"/>
    </w:rPr>
  </w:style>
  <w:style w:type="paragraph" w:styleId="Title">
    <w:name w:val="Title"/>
    <w:basedOn w:val="Normal"/>
    <w:next w:val="Normal"/>
    <w:link w:val="TitleChar"/>
    <w:uiPriority w:val="10"/>
    <w:qFormat/>
    <w:rsid w:val="00FC7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DEA"/>
    <w:pPr>
      <w:spacing w:before="160"/>
      <w:jc w:val="center"/>
    </w:pPr>
    <w:rPr>
      <w:i/>
      <w:iCs/>
      <w:color w:val="404040" w:themeColor="text1" w:themeTint="BF"/>
    </w:rPr>
  </w:style>
  <w:style w:type="character" w:customStyle="1" w:styleId="QuoteChar">
    <w:name w:val="Quote Char"/>
    <w:basedOn w:val="DefaultParagraphFont"/>
    <w:link w:val="Quote"/>
    <w:uiPriority w:val="29"/>
    <w:rsid w:val="00FC7DEA"/>
    <w:rPr>
      <w:i/>
      <w:iCs/>
      <w:color w:val="404040" w:themeColor="text1" w:themeTint="BF"/>
    </w:rPr>
  </w:style>
  <w:style w:type="paragraph" w:styleId="ListParagraph">
    <w:name w:val="List Paragraph"/>
    <w:basedOn w:val="Normal"/>
    <w:uiPriority w:val="34"/>
    <w:qFormat/>
    <w:rsid w:val="00FC7DEA"/>
    <w:pPr>
      <w:ind w:left="720"/>
      <w:contextualSpacing/>
    </w:pPr>
  </w:style>
  <w:style w:type="character" w:styleId="IntenseEmphasis">
    <w:name w:val="Intense Emphasis"/>
    <w:basedOn w:val="DefaultParagraphFont"/>
    <w:uiPriority w:val="21"/>
    <w:qFormat/>
    <w:rsid w:val="00FC7DEA"/>
    <w:rPr>
      <w:i/>
      <w:iCs/>
      <w:color w:val="0F4761" w:themeColor="accent1" w:themeShade="BF"/>
    </w:rPr>
  </w:style>
  <w:style w:type="paragraph" w:styleId="IntenseQuote">
    <w:name w:val="Intense Quote"/>
    <w:basedOn w:val="Normal"/>
    <w:next w:val="Normal"/>
    <w:link w:val="IntenseQuoteChar"/>
    <w:uiPriority w:val="30"/>
    <w:qFormat/>
    <w:rsid w:val="00FC7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DEA"/>
    <w:rPr>
      <w:i/>
      <w:iCs/>
      <w:color w:val="0F4761" w:themeColor="accent1" w:themeShade="BF"/>
    </w:rPr>
  </w:style>
  <w:style w:type="character" w:styleId="IntenseReference">
    <w:name w:val="Intense Reference"/>
    <w:basedOn w:val="DefaultParagraphFont"/>
    <w:uiPriority w:val="32"/>
    <w:qFormat/>
    <w:rsid w:val="00FC7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McCarthy-Wielenga</dc:creator>
  <cp:keywords/>
  <dc:description/>
  <cp:lastModifiedBy>Talia McCarthy-Wielenga</cp:lastModifiedBy>
  <cp:revision>2</cp:revision>
  <dcterms:created xsi:type="dcterms:W3CDTF">2026-09-26T20:46:00Z</dcterms:created>
  <dcterms:modified xsi:type="dcterms:W3CDTF">2026-09-26T20:56:00Z</dcterms:modified>
</cp:coreProperties>
</file>