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8DD67" w14:textId="63DE08B3" w:rsidR="004948C9" w:rsidRDefault="00791CB9" w:rsidP="00791CB9">
      <w:pPr>
        <w:spacing w:line="480" w:lineRule="auto"/>
        <w:rPr>
          <w:rFonts w:ascii="Times New Roman" w:hAnsi="Times New Roman" w:cs="Times New Roman"/>
        </w:rPr>
      </w:pPr>
      <w:r w:rsidRPr="00791CB9">
        <w:rPr>
          <w:rFonts w:ascii="Times New Roman" w:hAnsi="Times New Roman" w:cs="Times New Roman"/>
        </w:rPr>
        <w:t>Talia McCarthy-Wielenga</w:t>
      </w:r>
    </w:p>
    <w:p w14:paraId="29789907" w14:textId="2B89A6D9" w:rsidR="00791CB9" w:rsidRDefault="00791CB9" w:rsidP="00791CB9">
      <w:pPr>
        <w:spacing w:line="480" w:lineRule="auto"/>
        <w:rPr>
          <w:rFonts w:ascii="Times New Roman" w:hAnsi="Times New Roman" w:cs="Times New Roman"/>
        </w:rPr>
      </w:pPr>
      <w:r>
        <w:rPr>
          <w:rFonts w:ascii="Times New Roman" w:hAnsi="Times New Roman" w:cs="Times New Roman"/>
        </w:rPr>
        <w:t>CS 499</w:t>
      </w:r>
    </w:p>
    <w:p w14:paraId="5F6AD1D4" w14:textId="4C5DA244" w:rsidR="00791CB9" w:rsidRDefault="00791CB9" w:rsidP="00791CB9">
      <w:pPr>
        <w:spacing w:line="480" w:lineRule="auto"/>
        <w:rPr>
          <w:rFonts w:ascii="Times New Roman" w:hAnsi="Times New Roman" w:cs="Times New Roman"/>
        </w:rPr>
      </w:pPr>
      <w:r>
        <w:rPr>
          <w:rFonts w:ascii="Times New Roman" w:hAnsi="Times New Roman" w:cs="Times New Roman"/>
        </w:rPr>
        <w:t>Milestone Four</w:t>
      </w:r>
    </w:p>
    <w:p w14:paraId="52BB72ED" w14:textId="1E2BB01A" w:rsidR="00791CB9" w:rsidRDefault="00791CB9" w:rsidP="00791CB9">
      <w:pPr>
        <w:spacing w:line="480" w:lineRule="auto"/>
        <w:rPr>
          <w:rFonts w:ascii="Times New Roman" w:hAnsi="Times New Roman" w:cs="Times New Roman"/>
        </w:rPr>
      </w:pPr>
      <w:r>
        <w:rPr>
          <w:rFonts w:ascii="Times New Roman" w:hAnsi="Times New Roman" w:cs="Times New Roman"/>
        </w:rPr>
        <w:t>October 3, 2026</w:t>
      </w:r>
    </w:p>
    <w:p w14:paraId="28D66DF8" w14:textId="2E1EE012" w:rsidR="00791CB9" w:rsidRDefault="00791CB9" w:rsidP="00791CB9">
      <w:pPr>
        <w:spacing w:line="480" w:lineRule="auto"/>
        <w:rPr>
          <w:rFonts w:ascii="Times New Roman" w:hAnsi="Times New Roman" w:cs="Times New Roman"/>
        </w:rPr>
      </w:pPr>
      <w:r w:rsidRPr="00791CB9">
        <w:rPr>
          <w:rFonts w:ascii="Times New Roman" w:hAnsi="Times New Roman" w:cs="Times New Roman"/>
        </w:rPr>
        <w:t xml:space="preserve">The artifact selected for enhancement is the Artemis </w:t>
      </w:r>
      <w:proofErr w:type="gramStart"/>
      <w:r w:rsidRPr="00791CB9">
        <w:rPr>
          <w:rFonts w:ascii="Times New Roman" w:hAnsi="Times New Roman" w:cs="Times New Roman"/>
        </w:rPr>
        <w:t>Financial</w:t>
      </w:r>
      <w:proofErr w:type="gramEnd"/>
      <w:r w:rsidRPr="00791CB9">
        <w:rPr>
          <w:rFonts w:ascii="Times New Roman" w:hAnsi="Times New Roman" w:cs="Times New Roman"/>
        </w:rPr>
        <w:t xml:space="preserve"> Secure Spring Boot Server, originally engineered during coursework in CS 305: Software Security. The software functions as a secure backend microservice designed to handle sensitive operational data, manage transaction logs, and provide cryptographic verification metrics. In its original state, the application functioned within a monolithic single-file layout under SslServerApplication.java. This single file housed the server startup configuration, a REST controller endpoint configuration, and a hardcoded cryptographic routine designed to return a fixed SHA-256 integrity checksum wrapped inside unformatted HTML response text. While it established an HTTPS network socket, it completely lacked modular decoupling, dynamic parameter structures, data streaming mechanics, object-relational schemas, and reliable persistence capabilities.</w:t>
      </w:r>
    </w:p>
    <w:p w14:paraId="5677BECA" w14:textId="2DB2EA2A" w:rsidR="00791CB9" w:rsidRPr="00791CB9" w:rsidRDefault="00791CB9" w:rsidP="00791CB9">
      <w:pPr>
        <w:spacing w:line="480" w:lineRule="auto"/>
        <w:rPr>
          <w:rFonts w:ascii="Times New Roman" w:hAnsi="Times New Roman" w:cs="Times New Roman"/>
        </w:rPr>
      </w:pPr>
      <w:r w:rsidRPr="00791CB9">
        <w:rPr>
          <w:rFonts w:ascii="Times New Roman" w:hAnsi="Times New Roman" w:cs="Times New Roman"/>
        </w:rPr>
        <w:t xml:space="preserve">The Artemis Financial server is included in the </w:t>
      </w:r>
      <w:proofErr w:type="spellStart"/>
      <w:r w:rsidRPr="00791CB9">
        <w:rPr>
          <w:rFonts w:ascii="Times New Roman" w:hAnsi="Times New Roman" w:cs="Times New Roman"/>
        </w:rPr>
        <w:t>ePortfolio</w:t>
      </w:r>
      <w:proofErr w:type="spellEnd"/>
      <w:r w:rsidRPr="00791CB9">
        <w:rPr>
          <w:rFonts w:ascii="Times New Roman" w:hAnsi="Times New Roman" w:cs="Times New Roman"/>
        </w:rPr>
        <w:t xml:space="preserve"> because it represents a production-ready demonstration of the critical intersection between advanced security architectures, efficient data algorithms, and secure, durable data storage systems. Demonstrating proficiency in re-architecting coupled, legacy source structures into modular, high-efficiency corporate assets directly </w:t>
      </w:r>
      <w:r w:rsidRPr="00791CB9">
        <w:rPr>
          <w:rFonts w:ascii="Times New Roman" w:hAnsi="Times New Roman" w:cs="Times New Roman"/>
        </w:rPr>
        <w:t>signal</w:t>
      </w:r>
      <w:r w:rsidRPr="00791CB9">
        <w:rPr>
          <w:rFonts w:ascii="Times New Roman" w:hAnsi="Times New Roman" w:cs="Times New Roman"/>
        </w:rPr>
        <w:t xml:space="preserve"> readiness for an industry-level software engineering role. This holds particularly true within highly regulated sectors such as healthcare informatics and medical device data transit, where tracking the integrity and access logs of medical diagnostic information is an absolute legal and clinical mandate. While Milestones Two and Three addressed basic software </w:t>
      </w:r>
      <w:r w:rsidRPr="00791CB9">
        <w:rPr>
          <w:rFonts w:ascii="Times New Roman" w:hAnsi="Times New Roman" w:cs="Times New Roman"/>
        </w:rPr>
        <w:lastRenderedPageBreak/>
        <w:t xml:space="preserve">design patterns and memory-efficient streaming algorithms, the Milestone Four refactoring process </w:t>
      </w:r>
      <w:r w:rsidRPr="00791CB9">
        <w:rPr>
          <w:rFonts w:ascii="Times New Roman" w:hAnsi="Times New Roman" w:cs="Times New Roman"/>
        </w:rPr>
        <w:t>shows</w:t>
      </w:r>
      <w:r w:rsidRPr="00791CB9">
        <w:rPr>
          <w:rFonts w:ascii="Times New Roman" w:hAnsi="Times New Roman" w:cs="Times New Roman"/>
        </w:rPr>
        <w:t xml:space="preserve"> specific capabilities in the domain of databases.</w:t>
      </w:r>
    </w:p>
    <w:p w14:paraId="4ADF1C88" w14:textId="553D8D15" w:rsidR="00791CB9" w:rsidRPr="00791CB9" w:rsidRDefault="00791CB9" w:rsidP="00791CB9">
      <w:pPr>
        <w:spacing w:line="480" w:lineRule="auto"/>
        <w:rPr>
          <w:rFonts w:ascii="Times New Roman" w:hAnsi="Times New Roman" w:cs="Times New Roman"/>
        </w:rPr>
      </w:pPr>
      <w:r w:rsidRPr="00791CB9">
        <w:rPr>
          <w:rFonts w:ascii="Times New Roman" w:hAnsi="Times New Roman" w:cs="Times New Roman"/>
        </w:rPr>
        <w:t xml:space="preserve">The original application suffered from a total lack of persistence capability, discarding any computational or security log data immediately upon connection termination. To elevate this project to an industry standard, the application properties were refactored to replace volatile, in-memory configurations with a robust, file-backed H2 relational database instance targeting a localized file path directory. This design pivot ensures that all recorded assets physically survive application context </w:t>
      </w:r>
      <w:r w:rsidRPr="00791CB9">
        <w:rPr>
          <w:rFonts w:ascii="Times New Roman" w:hAnsi="Times New Roman" w:cs="Times New Roman"/>
        </w:rPr>
        <w:t>teardowns</w:t>
      </w:r>
      <w:r w:rsidRPr="00791CB9">
        <w:rPr>
          <w:rFonts w:ascii="Times New Roman" w:hAnsi="Times New Roman" w:cs="Times New Roman"/>
        </w:rPr>
        <w:t xml:space="preserve"> or unexpected server crashes on the storage disk.</w:t>
      </w:r>
    </w:p>
    <w:p w14:paraId="00F4CA71" w14:textId="0D077867" w:rsidR="00791CB9" w:rsidRDefault="00791CB9" w:rsidP="00791CB9">
      <w:pPr>
        <w:spacing w:line="480" w:lineRule="auto"/>
        <w:rPr>
          <w:rFonts w:ascii="Times New Roman" w:hAnsi="Times New Roman" w:cs="Times New Roman"/>
        </w:rPr>
      </w:pPr>
      <w:r w:rsidRPr="00791CB9">
        <w:rPr>
          <w:rFonts w:ascii="Times New Roman" w:hAnsi="Times New Roman" w:cs="Times New Roman"/>
        </w:rPr>
        <w:t xml:space="preserve">Furthermore, the database interaction tier was enhanced by introducing professional Object-Relational Mapping (ORM) principles through Java Persistence API annotations. By defining a dedicated </w:t>
      </w:r>
      <w:proofErr w:type="spellStart"/>
      <w:r w:rsidRPr="00791CB9">
        <w:rPr>
          <w:rFonts w:ascii="Times New Roman" w:hAnsi="Times New Roman" w:cs="Times New Roman"/>
        </w:rPr>
        <w:t>AuditLog</w:t>
      </w:r>
      <w:proofErr w:type="spellEnd"/>
      <w:r w:rsidRPr="00791CB9">
        <w:rPr>
          <w:rFonts w:ascii="Times New Roman" w:hAnsi="Times New Roman" w:cs="Times New Roman"/>
        </w:rPr>
        <w:t xml:space="preserve"> entity class and configuring an integrated </w:t>
      </w:r>
      <w:proofErr w:type="spellStart"/>
      <w:r w:rsidRPr="00791CB9">
        <w:rPr>
          <w:rFonts w:ascii="Times New Roman" w:hAnsi="Times New Roman" w:cs="Times New Roman"/>
        </w:rPr>
        <w:t>AuditLogRepository</w:t>
      </w:r>
      <w:proofErr w:type="spellEnd"/>
      <w:r w:rsidRPr="00791CB9">
        <w:rPr>
          <w:rFonts w:ascii="Times New Roman" w:hAnsi="Times New Roman" w:cs="Times New Roman"/>
        </w:rPr>
        <w:t xml:space="preserve"> abstraction boundary extending </w:t>
      </w:r>
      <w:proofErr w:type="spellStart"/>
      <w:r w:rsidRPr="00791CB9">
        <w:rPr>
          <w:rFonts w:ascii="Times New Roman" w:hAnsi="Times New Roman" w:cs="Times New Roman"/>
        </w:rPr>
        <w:t>JpaRepository</w:t>
      </w:r>
      <w:proofErr w:type="spellEnd"/>
      <w:r w:rsidRPr="00791CB9">
        <w:rPr>
          <w:rFonts w:ascii="Times New Roman" w:hAnsi="Times New Roman" w:cs="Times New Roman"/>
        </w:rPr>
        <w:t>, the system decouples high-level transaction business paths from raw JDBC connection routines. Enforcing this abstraction layer implements a strict security mindset; by relying on automated, compile-time verified parameterized queries provided natively by the Spring Data framework, the application structurally eradicates SQL injection vulnerabilities that could otherwise allow an external adversary to manipulate database schemas or compromise sensitive logging records. Following explicit engineering assessments, the cryptographic tier was further refined to transition away from default Java cipher initializations</w:t>
      </w:r>
      <w:r>
        <w:rPr>
          <w:rFonts w:ascii="Times New Roman" w:hAnsi="Times New Roman" w:cs="Times New Roman"/>
        </w:rPr>
        <w:t xml:space="preserve"> </w:t>
      </w:r>
      <w:r w:rsidRPr="00791CB9">
        <w:rPr>
          <w:rFonts w:ascii="Times New Roman" w:hAnsi="Times New Roman" w:cs="Times New Roman"/>
        </w:rPr>
        <w:t>to a strict, declared AES/CBC/PKCS5Padding transformation. This explicit specification ensures cryptographic block-chaining randomization, neutralizing semantic vulnerabilities where repeating patterns in data payloads leak underlying system intelligence.</w:t>
      </w:r>
    </w:p>
    <w:p w14:paraId="43F4BB21" w14:textId="77777777" w:rsidR="00791CB9" w:rsidRPr="00791CB9" w:rsidRDefault="00791CB9" w:rsidP="00791CB9">
      <w:pPr>
        <w:spacing w:line="480" w:lineRule="auto"/>
        <w:rPr>
          <w:rFonts w:ascii="Times New Roman" w:hAnsi="Times New Roman" w:cs="Times New Roman"/>
        </w:rPr>
      </w:pPr>
      <w:r w:rsidRPr="00791CB9">
        <w:rPr>
          <w:rFonts w:ascii="Times New Roman" w:hAnsi="Times New Roman" w:cs="Times New Roman"/>
        </w:rPr>
        <w:t xml:space="preserve">Building immediately upon the structural separation of concerns and strategy frameworks established in prior milestones, the application’s configuration files and controller pathways were </w:t>
      </w:r>
      <w:r w:rsidRPr="00791CB9">
        <w:rPr>
          <w:rFonts w:ascii="Times New Roman" w:hAnsi="Times New Roman" w:cs="Times New Roman"/>
        </w:rPr>
        <w:lastRenderedPageBreak/>
        <w:t>updated to incorporate runtime database serialization. The web interface layer inside ChecksumController.java was wired to inject the new database access objects, automatically persisting structural transaction details containing owner metadata, action histories, algorithm choices, and system timestamps whenever a client executes a cryptographic validation loop.</w:t>
      </w:r>
    </w:p>
    <w:p w14:paraId="1EBBAAA5" w14:textId="77777777" w:rsidR="00791CB9" w:rsidRPr="00791CB9" w:rsidRDefault="00791CB9" w:rsidP="00791CB9">
      <w:pPr>
        <w:spacing w:line="480" w:lineRule="auto"/>
        <w:rPr>
          <w:rFonts w:ascii="Times New Roman" w:hAnsi="Times New Roman" w:cs="Times New Roman"/>
        </w:rPr>
      </w:pPr>
      <w:r w:rsidRPr="00791CB9">
        <w:rPr>
          <w:rFonts w:ascii="Times New Roman" w:hAnsi="Times New Roman" w:cs="Times New Roman"/>
        </w:rPr>
        <w:t>These technical implementations demonstrate successful fulfillment of and measurable progress toward the course learning outcomes established during Module One. Program Outcome 4, which targets innovative techniques, skills, and tools, was achieved by leveraging modern ORM frameworks to shift a legacy, non-persistent application into a highly cohesive database architecture.</w:t>
      </w:r>
    </w:p>
    <w:p w14:paraId="60F95AEA" w14:textId="77777777" w:rsidR="00791CB9" w:rsidRDefault="00791CB9" w:rsidP="00791CB9">
      <w:pPr>
        <w:spacing w:line="480" w:lineRule="auto"/>
        <w:rPr>
          <w:rFonts w:ascii="Times New Roman" w:hAnsi="Times New Roman" w:cs="Times New Roman"/>
        </w:rPr>
      </w:pPr>
      <w:r w:rsidRPr="00791CB9">
        <w:rPr>
          <w:rFonts w:ascii="Times New Roman" w:hAnsi="Times New Roman" w:cs="Times New Roman"/>
        </w:rPr>
        <w:t xml:space="preserve">Additionally, Program Outcome 5 was significantly advanced by embedding a database persistence layer that directly enhances data privacy and auditing integrity. Developing a security mindset requires ensuring that security-critical audit trails are durable and non-repudiable. To provide explicit validation evidence verifying this database capability claim, an automated integration test class named </w:t>
      </w:r>
      <w:proofErr w:type="spellStart"/>
      <w:r w:rsidRPr="00791CB9">
        <w:rPr>
          <w:rFonts w:ascii="Times New Roman" w:hAnsi="Times New Roman" w:cs="Times New Roman"/>
        </w:rPr>
        <w:t>DatabasePersistenceRestartTest</w:t>
      </w:r>
      <w:proofErr w:type="spellEnd"/>
      <w:r w:rsidRPr="00791CB9">
        <w:rPr>
          <w:rFonts w:ascii="Times New Roman" w:hAnsi="Times New Roman" w:cs="Times New Roman"/>
        </w:rPr>
        <w:t xml:space="preserve"> was developed. This test harness leverages Spring's context dirtying mechanics to write an audit log entry, forcefully terminate and restart the entire Spring Boot server context mid-execution, and then programmatically assert that the record successfully loaded out of the local disk file. This testing loop proves that your database configuration successfully mitigates the data-loss flaws inherent to volatile caching structures.</w:t>
      </w:r>
    </w:p>
    <w:p w14:paraId="3788D6BB" w14:textId="21BCBF08" w:rsidR="00791CB9" w:rsidRPr="00791CB9" w:rsidRDefault="00791CB9" w:rsidP="00791CB9">
      <w:pPr>
        <w:spacing w:line="480" w:lineRule="auto"/>
        <w:rPr>
          <w:rFonts w:ascii="Times New Roman" w:hAnsi="Times New Roman" w:cs="Times New Roman"/>
        </w:rPr>
      </w:pPr>
      <w:r w:rsidRPr="00791CB9">
        <w:rPr>
          <w:rFonts w:ascii="Times New Roman" w:hAnsi="Times New Roman" w:cs="Times New Roman"/>
        </w:rPr>
        <w:t xml:space="preserve">Refactoring core data processing pathways to incorporate durable persistence provided deep insights into the coordination mechanics that occur between framework object models and relational storage engines. Prior to entering the computer science program, my background was focused on biology on the pre-med path alongside active employment as a medical assistant. </w:t>
      </w:r>
      <w:r w:rsidRPr="00791CB9">
        <w:rPr>
          <w:rFonts w:ascii="Times New Roman" w:hAnsi="Times New Roman" w:cs="Times New Roman"/>
        </w:rPr>
        <w:lastRenderedPageBreak/>
        <w:t>Working directly in clinical environments exposed me to the severe real-world operational challenges that result from brittle, non-persistent medical software and improperly tracked electronic medical logs. Overcoming the database implementation hurdles in this capstone artifact bridged the gap between that clinical awareness and low-level software engineering, proving how proper transaction log structures safeguard operational transparency.</w:t>
      </w:r>
    </w:p>
    <w:p w14:paraId="17A29B14" w14:textId="77777777" w:rsidR="00791CB9" w:rsidRPr="00791CB9" w:rsidRDefault="00791CB9" w:rsidP="00791CB9">
      <w:pPr>
        <w:tabs>
          <w:tab w:val="left" w:pos="3084"/>
        </w:tabs>
        <w:spacing w:line="480" w:lineRule="auto"/>
        <w:rPr>
          <w:rFonts w:ascii="Times New Roman" w:hAnsi="Times New Roman" w:cs="Times New Roman"/>
        </w:rPr>
      </w:pPr>
      <w:r w:rsidRPr="00791CB9">
        <w:rPr>
          <w:rFonts w:ascii="Times New Roman" w:hAnsi="Times New Roman" w:cs="Times New Roman"/>
        </w:rPr>
        <w:t>Several notable technical challenges were encountered and overcome during this database expansion phase. The primary friction point involved configuring the file-backed H2 engine database configurations to handle runtime connection states smoothly during rapid, multithreaded transaction sequences without generating local disk access table locks. This challenge was resolved by introducing explicit database connection closing delay parameters within the application properties configuration layout.</w:t>
      </w:r>
    </w:p>
    <w:p w14:paraId="4C8B24E2" w14:textId="3D0D10D5" w:rsidR="00791CB9" w:rsidRPr="00791CB9" w:rsidRDefault="00791CB9" w:rsidP="00791CB9">
      <w:pPr>
        <w:tabs>
          <w:tab w:val="left" w:pos="3084"/>
        </w:tabs>
        <w:spacing w:line="480" w:lineRule="auto"/>
        <w:rPr>
          <w:rFonts w:ascii="Times New Roman" w:hAnsi="Times New Roman" w:cs="Times New Roman"/>
        </w:rPr>
      </w:pPr>
      <w:r w:rsidRPr="00791CB9">
        <w:rPr>
          <w:rFonts w:ascii="Times New Roman" w:hAnsi="Times New Roman" w:cs="Times New Roman"/>
        </w:rPr>
        <w:t xml:space="preserve">Additionally, mapping the Java-centric </w:t>
      </w:r>
      <w:proofErr w:type="spellStart"/>
      <w:r w:rsidRPr="00791CB9">
        <w:rPr>
          <w:rFonts w:ascii="Times New Roman" w:hAnsi="Times New Roman" w:cs="Times New Roman"/>
        </w:rPr>
        <w:t>LocalDateTime</w:t>
      </w:r>
      <w:proofErr w:type="spellEnd"/>
      <w:r w:rsidRPr="00791CB9">
        <w:rPr>
          <w:rFonts w:ascii="Times New Roman" w:hAnsi="Times New Roman" w:cs="Times New Roman"/>
        </w:rPr>
        <w:t xml:space="preserve"> object parameters onto SQL-compatible relational timestamps required fine-tuning hibernate dialect behaviors to ensure cross-platform data serialization consistency. Addressing these database management hurdles reinforced the vital importance of managing design trade-offs between automated framework automation configurations and explicit, defensive code declarations, resulting in a resilient microservice capable of meeting the highest workplace software standards.</w:t>
      </w:r>
    </w:p>
    <w:sectPr w:rsidR="00791CB9" w:rsidRPr="00791C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3B4"/>
    <w:rsid w:val="000413AC"/>
    <w:rsid w:val="002C03B4"/>
    <w:rsid w:val="00414800"/>
    <w:rsid w:val="004948C9"/>
    <w:rsid w:val="00791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BC654"/>
  <w15:chartTrackingRefBased/>
  <w15:docId w15:val="{A23905A2-4DCA-4EAD-AF31-95F88168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3B4"/>
    <w:rPr>
      <w:rFonts w:eastAsiaTheme="majorEastAsia" w:cstheme="majorBidi"/>
      <w:color w:val="272727" w:themeColor="text1" w:themeTint="D8"/>
    </w:rPr>
  </w:style>
  <w:style w:type="paragraph" w:styleId="Title">
    <w:name w:val="Title"/>
    <w:basedOn w:val="Normal"/>
    <w:next w:val="Normal"/>
    <w:link w:val="TitleChar"/>
    <w:uiPriority w:val="10"/>
    <w:qFormat/>
    <w:rsid w:val="002C0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3B4"/>
    <w:pPr>
      <w:spacing w:before="160"/>
      <w:jc w:val="center"/>
    </w:pPr>
    <w:rPr>
      <w:i/>
      <w:iCs/>
      <w:color w:val="404040" w:themeColor="text1" w:themeTint="BF"/>
    </w:rPr>
  </w:style>
  <w:style w:type="character" w:customStyle="1" w:styleId="QuoteChar">
    <w:name w:val="Quote Char"/>
    <w:basedOn w:val="DefaultParagraphFont"/>
    <w:link w:val="Quote"/>
    <w:uiPriority w:val="29"/>
    <w:rsid w:val="002C03B4"/>
    <w:rPr>
      <w:i/>
      <w:iCs/>
      <w:color w:val="404040" w:themeColor="text1" w:themeTint="BF"/>
    </w:rPr>
  </w:style>
  <w:style w:type="paragraph" w:styleId="ListParagraph">
    <w:name w:val="List Paragraph"/>
    <w:basedOn w:val="Normal"/>
    <w:uiPriority w:val="34"/>
    <w:qFormat/>
    <w:rsid w:val="002C03B4"/>
    <w:pPr>
      <w:ind w:left="720"/>
      <w:contextualSpacing/>
    </w:pPr>
  </w:style>
  <w:style w:type="character" w:styleId="IntenseEmphasis">
    <w:name w:val="Intense Emphasis"/>
    <w:basedOn w:val="DefaultParagraphFont"/>
    <w:uiPriority w:val="21"/>
    <w:qFormat/>
    <w:rsid w:val="002C03B4"/>
    <w:rPr>
      <w:i/>
      <w:iCs/>
      <w:color w:val="0F4761" w:themeColor="accent1" w:themeShade="BF"/>
    </w:rPr>
  </w:style>
  <w:style w:type="paragraph" w:styleId="IntenseQuote">
    <w:name w:val="Intense Quote"/>
    <w:basedOn w:val="Normal"/>
    <w:next w:val="Normal"/>
    <w:link w:val="IntenseQuoteChar"/>
    <w:uiPriority w:val="30"/>
    <w:qFormat/>
    <w:rsid w:val="002C0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3B4"/>
    <w:rPr>
      <w:i/>
      <w:iCs/>
      <w:color w:val="0F4761" w:themeColor="accent1" w:themeShade="BF"/>
    </w:rPr>
  </w:style>
  <w:style w:type="character" w:styleId="IntenseReference">
    <w:name w:val="Intense Reference"/>
    <w:basedOn w:val="DefaultParagraphFont"/>
    <w:uiPriority w:val="32"/>
    <w:qFormat/>
    <w:rsid w:val="002C0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1082</Words>
  <Characters>6171</Characters>
  <Application>Microsoft Office Word</Application>
  <DocSecurity>0</DocSecurity>
  <Lines>51</Lines>
  <Paragraphs>14</Paragraphs>
  <ScaleCrop>false</ScaleCrop>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Talia McCarthy-Wielenga</dc:creator>
  <cp:keywords/>
  <dc:description/>
  <cp:lastModifiedBy>Talia McCarthy-Wielenga</cp:lastModifiedBy>
  <cp:revision>2</cp:revision>
  <dcterms:created xsi:type="dcterms:W3CDTF">2026-10-03T22:34:00Z</dcterms:created>
  <dcterms:modified xsi:type="dcterms:W3CDTF">2026-10-03T22:39:00Z</dcterms:modified>
</cp:coreProperties>
</file>