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80B9" w14:textId="4B57A7BB" w:rsidR="004948C9" w:rsidRPr="00BB10FB" w:rsidRDefault="00BB10FB" w:rsidP="00BB10FB">
      <w:pPr>
        <w:spacing w:line="480" w:lineRule="auto"/>
        <w:rPr>
          <w:rFonts w:ascii="Times New Roman" w:hAnsi="Times New Roman" w:cs="Times New Roman"/>
          <w:b/>
          <w:bCs/>
        </w:rPr>
      </w:pPr>
      <w:r w:rsidRPr="00BB10FB">
        <w:rPr>
          <w:rFonts w:ascii="Times New Roman" w:hAnsi="Times New Roman" w:cs="Times New Roman"/>
          <w:b/>
          <w:bCs/>
        </w:rPr>
        <w:t>Professional Self-Assessment</w:t>
      </w:r>
    </w:p>
    <w:p w14:paraId="011DE0E6" w14:textId="68FD8390" w:rsidR="00BB10FB" w:rsidRPr="00BB10FB" w:rsidRDefault="00BB10FB" w:rsidP="00BB10FB">
      <w:pPr>
        <w:spacing w:line="480" w:lineRule="auto"/>
        <w:rPr>
          <w:rFonts w:ascii="Times New Roman" w:hAnsi="Times New Roman" w:cs="Times New Roman"/>
          <w:b/>
          <w:bCs/>
        </w:rPr>
      </w:pPr>
      <w:r w:rsidRPr="00BB10FB">
        <w:rPr>
          <w:rFonts w:ascii="Times New Roman" w:hAnsi="Times New Roman" w:cs="Times New Roman"/>
          <w:b/>
          <w:bCs/>
        </w:rPr>
        <w:t>Candidate: Talia McCarthy-Wielenga</w:t>
      </w:r>
    </w:p>
    <w:p w14:paraId="6C34F21A" w14:textId="526AEBE4" w:rsidR="00BB10FB" w:rsidRPr="00BB10FB" w:rsidRDefault="00BB10FB" w:rsidP="00BB10FB">
      <w:pPr>
        <w:spacing w:line="480" w:lineRule="auto"/>
        <w:rPr>
          <w:rFonts w:ascii="Times New Roman" w:hAnsi="Times New Roman" w:cs="Times New Roman"/>
          <w:b/>
          <w:bCs/>
        </w:rPr>
      </w:pPr>
      <w:r w:rsidRPr="00BB10FB">
        <w:rPr>
          <w:rFonts w:ascii="Times New Roman" w:hAnsi="Times New Roman" w:cs="Times New Roman"/>
          <w:b/>
          <w:bCs/>
        </w:rPr>
        <w:t>Target Specialization: Secure Backend Software Engineering and Healthcare Informatics</w:t>
      </w:r>
    </w:p>
    <w:p w14:paraId="68649039" w14:textId="77777777" w:rsidR="00BB10FB" w:rsidRPr="00BB10FB" w:rsidRDefault="00BB10FB" w:rsidP="00BB10FB">
      <w:pPr>
        <w:spacing w:line="480" w:lineRule="auto"/>
        <w:rPr>
          <w:rFonts w:ascii="Times New Roman" w:hAnsi="Times New Roman" w:cs="Times New Roman"/>
        </w:rPr>
      </w:pPr>
      <w:r w:rsidRPr="00BB10FB">
        <w:rPr>
          <w:rFonts w:ascii="Times New Roman" w:hAnsi="Times New Roman" w:cs="Times New Roman"/>
        </w:rPr>
        <w:t>Completing the Bachelor of Science in Computer Science program represents a profound professional evolution, establishing a comprehensive engineering framework built upon my foundational academic roots. Prior to entering the computing discipline, my academic focus was centered on biology on the pre-med track, paired with concurrent, active employment as a medical assistant. Working directly within clinical healthcare environments exposed me firsthand to the systemic vulnerabilities, data latency, and rigid processing barriers that frequently plague frontline electronic health records and diagnostic logging infrastructures. This immersion revealed that modern healthcare delivery is fundamentally dependent on the integrity of the software systems supporting it. Driven to actively remediate these vulnerabilities, I pivoted into computer science with a specialized focus on backend architecture, software security, and healthcare informatics. Throughout this capstone journey, I have successfully leveraged my clinical operational insights to drive rigorous engineering choices, shifting my role from a consumer of medical software to an engineer capable of architecting resilient, enterprise-grade data microservices.</w:t>
      </w:r>
    </w:p>
    <w:p w14:paraId="72A2ED81" w14:textId="75BC7A08" w:rsidR="00BB10FB" w:rsidRDefault="00BB10FB" w:rsidP="00BB10FB">
      <w:pPr>
        <w:spacing w:line="480" w:lineRule="auto"/>
        <w:rPr>
          <w:rFonts w:ascii="Times New Roman" w:hAnsi="Times New Roman" w:cs="Times New Roman"/>
        </w:rPr>
      </w:pPr>
      <w:r w:rsidRPr="00BB10FB">
        <w:rPr>
          <w:rFonts w:ascii="Times New Roman" w:hAnsi="Times New Roman" w:cs="Times New Roman"/>
        </w:rPr>
        <w:t>Navigating the capstone curriculum required cultivating advanced strategies for building collaborative computing environments while executing professional, technically sound communications across diverse organizational contexts. True collaboration within software engineering extends beyond basic co-authoring; it requires creating modular, highly readable codebases that enable diverse stakeholders</w:t>
      </w:r>
      <w:r>
        <w:rPr>
          <w:rFonts w:ascii="Times New Roman" w:hAnsi="Times New Roman" w:cs="Times New Roman"/>
        </w:rPr>
        <w:t xml:space="preserve"> </w:t>
      </w:r>
      <w:r w:rsidRPr="00BB10FB">
        <w:rPr>
          <w:rFonts w:ascii="Times New Roman" w:hAnsi="Times New Roman" w:cs="Times New Roman"/>
        </w:rPr>
        <w:t>to evaluate architectural metrics and support data-</w:t>
      </w:r>
      <w:r w:rsidRPr="00BB10FB">
        <w:rPr>
          <w:rFonts w:ascii="Times New Roman" w:hAnsi="Times New Roman" w:cs="Times New Roman"/>
        </w:rPr>
        <w:lastRenderedPageBreak/>
        <w:t>driven decision-making. In my professional practice, I achieve this by implementing strict documentation standards, comprehensive inline commentaries, and unified API schemas that bridge the gap between abstract computing logic and non-technical business parameters. Delivering technical assets, such as formal code review presentations and structured markdown landing pages, has refined my ability to synthesize complex, low-level execution paths into coherent technical communications. Adapting technical data into cross-platform serialized representations like machine-readable JSON payloads prepares me to meet the highest collaborative standards of the modern corporate workforce, ensuring clear transparency across interdisciplinary enterprise teams.</w:t>
      </w:r>
    </w:p>
    <w:p w14:paraId="764156A6" w14:textId="2673BF54" w:rsidR="00BB10FB" w:rsidRDefault="00BB10FB" w:rsidP="00BB10FB">
      <w:pPr>
        <w:spacing w:line="480" w:lineRule="auto"/>
        <w:rPr>
          <w:rFonts w:ascii="Times New Roman" w:hAnsi="Times New Roman" w:cs="Times New Roman"/>
        </w:rPr>
      </w:pPr>
      <w:r w:rsidRPr="00BB10FB">
        <w:rPr>
          <w:rFonts w:ascii="Times New Roman" w:hAnsi="Times New Roman" w:cs="Times New Roman"/>
        </w:rPr>
        <w:t xml:space="preserve">Demonstrating mastery in computer science requires the precise design, evaluation, and implementation of computing solutions that solve real-world problems while managing computational trade-offs. During the architectural re-engineering of the Artemis </w:t>
      </w:r>
      <w:proofErr w:type="gramStart"/>
      <w:r w:rsidRPr="00BB10FB">
        <w:rPr>
          <w:rFonts w:ascii="Times New Roman" w:hAnsi="Times New Roman" w:cs="Times New Roman"/>
        </w:rPr>
        <w:t>Financial</w:t>
      </w:r>
      <w:proofErr w:type="gramEnd"/>
      <w:r w:rsidRPr="00BB10FB">
        <w:rPr>
          <w:rFonts w:ascii="Times New Roman" w:hAnsi="Times New Roman" w:cs="Times New Roman"/>
        </w:rPr>
        <w:t xml:space="preserve"> Secure Server, I successfully applied well-founded software engineering standards to dismantle a tightly coupled legacy monolith into a decoupled, multi-tiered Model-View-Controller layout. To optimize data processing loops and satisfy the program's algorithmic metrics, I integrated an adaptive runtime Strategy Pattern that completely isolates one-way message digest hashing routines from reversible confidentiality ciphers. This implementation explicitly addresses low-level resource utilization; by processing inbound network data sequentially using Java input streams and a balanced 1KB block buffer, the application maintains a near-zero memory heap footprint regardless of transaction scale. This architectural approach deliberately trades a minimal amount of upfront boilerplate configuration complexity for long-term algorithmic flexibility and exceptional memory safety, directly addressing the core trade-offs between execution speed and resource preservation.</w:t>
      </w:r>
    </w:p>
    <w:p w14:paraId="5CBA1FD0" w14:textId="46D209CC" w:rsidR="00BB10FB" w:rsidRDefault="00BB10FB" w:rsidP="00BB10FB">
      <w:pPr>
        <w:spacing w:line="480" w:lineRule="auto"/>
        <w:rPr>
          <w:rFonts w:ascii="Times New Roman" w:hAnsi="Times New Roman" w:cs="Times New Roman"/>
        </w:rPr>
      </w:pPr>
      <w:r w:rsidRPr="00BB10FB">
        <w:rPr>
          <w:rFonts w:ascii="Times New Roman" w:hAnsi="Times New Roman" w:cs="Times New Roman"/>
        </w:rPr>
        <w:lastRenderedPageBreak/>
        <w:t>A critical component of engineering high-performance backend systems is the implementation of secure, durable database architectures that ensure data availability and compliance permanence. To elevate the capstone artifact from an ephemeral caching utility to an enterprise asset, the database infrastructure was migrated from a volatile, in-memory configuration to a permanent, localized disk-backed relational system via an H2 file-backed storage pathway. To bridge the gap between object-oriented source structures and relational schemas, I integrated advanced Object-Relational Mapping (ORM) principles by configuring explicit Java Persistence API annotations and extended Spring Data repositories. This architectural abstraction boundary structurally secures the system against SQL injection exploit paths by replacing raw, string-concatenated SQL queries with compile-time verified, parameterized database transactions. Furthermore, to provide quantifiable evidence of persistence stability, I engineered an automated integration test harness that leverages Spring context dirtying mechanisms to verify that security-critical audit trails seamlessly survive forced mid-execution reboots, proving complete data durability across system lifecycles.</w:t>
      </w:r>
    </w:p>
    <w:p w14:paraId="40DE636A" w14:textId="17A2032E" w:rsidR="00BB10FB" w:rsidRPr="00BB10FB" w:rsidRDefault="00BB10FB" w:rsidP="00BB10FB">
      <w:pPr>
        <w:spacing w:line="480" w:lineRule="auto"/>
        <w:rPr>
          <w:rFonts w:ascii="Times New Roman" w:hAnsi="Times New Roman" w:cs="Times New Roman"/>
        </w:rPr>
      </w:pPr>
      <w:r w:rsidRPr="00BB10FB">
        <w:rPr>
          <w:rFonts w:ascii="Times New Roman" w:hAnsi="Times New Roman" w:cs="Times New Roman"/>
        </w:rPr>
        <w:t>The defining element of my engineering methodology is a deeply ingrained security mindset that proactively anticipates adversarial exploits, exposes architectural flaws, and enforces absolute data privacy. Throughout the enhancement of the secure microservice, I maintained a defensive posture that treats security configurations as dynamic mandates rather than static checkboxes. This posture was explicitly demonstrated when refining the system's symmetric cipher engines; recognizing that default Java cryptographic provider initializations frequently fall back to insecure, pattern-leaking Electronic Codebook modes, I explicitly upgraded the architecture to mandate an authenticated AES-GCM-</w:t>
      </w:r>
      <w:proofErr w:type="spellStart"/>
      <w:r w:rsidRPr="00BB10FB">
        <w:rPr>
          <w:rFonts w:ascii="Times New Roman" w:hAnsi="Times New Roman" w:cs="Times New Roman"/>
        </w:rPr>
        <w:t>NoPadding</w:t>
      </w:r>
      <w:proofErr w:type="spellEnd"/>
      <w:r w:rsidRPr="00BB10FB">
        <w:rPr>
          <w:rFonts w:ascii="Times New Roman" w:hAnsi="Times New Roman" w:cs="Times New Roman"/>
        </w:rPr>
        <w:t xml:space="preserve"> transformation utilizing randomized 96-bit initialization vectors. Additionally, secret key configurations were securely externalized into </w:t>
      </w:r>
      <w:r w:rsidRPr="00BB10FB">
        <w:rPr>
          <w:rFonts w:ascii="Times New Roman" w:hAnsi="Times New Roman" w:cs="Times New Roman"/>
        </w:rPr>
        <w:lastRenderedPageBreak/>
        <w:t>application properties to prevent credential hardcoding, while centralized error interceptors ensure that raw system stack traces are caught internally and never leaked across client interfaces. By engineering distinct structural boundaries between cryptographic frameworks, maintaining rigorous input-stream sanitization, and guaranteeing immutable logging trails, I have positioned myself to design, protect, and deliver high-integrity software assets capable of defending mission-critical enterprise environments.</w:t>
      </w:r>
    </w:p>
    <w:sectPr w:rsidR="00BB10FB" w:rsidRPr="00BB1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8F"/>
    <w:rsid w:val="00414800"/>
    <w:rsid w:val="004948C9"/>
    <w:rsid w:val="00673E28"/>
    <w:rsid w:val="006F7C8F"/>
    <w:rsid w:val="00BB1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2697"/>
  <w15:chartTrackingRefBased/>
  <w15:docId w15:val="{7C3CD736-9FC1-4D5E-9CA1-9675C68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C8F"/>
    <w:rPr>
      <w:rFonts w:eastAsiaTheme="majorEastAsia" w:cstheme="majorBidi"/>
      <w:color w:val="272727" w:themeColor="text1" w:themeTint="D8"/>
    </w:rPr>
  </w:style>
  <w:style w:type="paragraph" w:styleId="Title">
    <w:name w:val="Title"/>
    <w:basedOn w:val="Normal"/>
    <w:next w:val="Normal"/>
    <w:link w:val="TitleChar"/>
    <w:uiPriority w:val="10"/>
    <w:qFormat/>
    <w:rsid w:val="006F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C8F"/>
    <w:pPr>
      <w:spacing w:before="160"/>
      <w:jc w:val="center"/>
    </w:pPr>
    <w:rPr>
      <w:i/>
      <w:iCs/>
      <w:color w:val="404040" w:themeColor="text1" w:themeTint="BF"/>
    </w:rPr>
  </w:style>
  <w:style w:type="character" w:customStyle="1" w:styleId="QuoteChar">
    <w:name w:val="Quote Char"/>
    <w:basedOn w:val="DefaultParagraphFont"/>
    <w:link w:val="Quote"/>
    <w:uiPriority w:val="29"/>
    <w:rsid w:val="006F7C8F"/>
    <w:rPr>
      <w:i/>
      <w:iCs/>
      <w:color w:val="404040" w:themeColor="text1" w:themeTint="BF"/>
    </w:rPr>
  </w:style>
  <w:style w:type="paragraph" w:styleId="ListParagraph">
    <w:name w:val="List Paragraph"/>
    <w:basedOn w:val="Normal"/>
    <w:uiPriority w:val="34"/>
    <w:qFormat/>
    <w:rsid w:val="006F7C8F"/>
    <w:pPr>
      <w:ind w:left="720"/>
      <w:contextualSpacing/>
    </w:pPr>
  </w:style>
  <w:style w:type="character" w:styleId="IntenseEmphasis">
    <w:name w:val="Intense Emphasis"/>
    <w:basedOn w:val="DefaultParagraphFont"/>
    <w:uiPriority w:val="21"/>
    <w:qFormat/>
    <w:rsid w:val="006F7C8F"/>
    <w:rPr>
      <w:i/>
      <w:iCs/>
      <w:color w:val="0F4761" w:themeColor="accent1" w:themeShade="BF"/>
    </w:rPr>
  </w:style>
  <w:style w:type="paragraph" w:styleId="IntenseQuote">
    <w:name w:val="Intense Quote"/>
    <w:basedOn w:val="Normal"/>
    <w:next w:val="Normal"/>
    <w:link w:val="IntenseQuoteChar"/>
    <w:uiPriority w:val="30"/>
    <w:qFormat/>
    <w:rsid w:val="006F7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C8F"/>
    <w:rPr>
      <w:i/>
      <w:iCs/>
      <w:color w:val="0F4761" w:themeColor="accent1" w:themeShade="BF"/>
    </w:rPr>
  </w:style>
  <w:style w:type="character" w:styleId="IntenseReference">
    <w:name w:val="Intense Reference"/>
    <w:basedOn w:val="DefaultParagraphFont"/>
    <w:uiPriority w:val="32"/>
    <w:qFormat/>
    <w:rsid w:val="006F7C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McCarthy-Wielenga</dc:creator>
  <cp:keywords/>
  <dc:description/>
  <cp:lastModifiedBy>Talia McCarthy-Wielenga</cp:lastModifiedBy>
  <cp:revision>2</cp:revision>
  <dcterms:created xsi:type="dcterms:W3CDTF">2026-10-17T00:46:00Z</dcterms:created>
  <dcterms:modified xsi:type="dcterms:W3CDTF">2026-10-17T00:50:00Z</dcterms:modified>
</cp:coreProperties>
</file>