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FAD5" w14:textId="43127E7E" w:rsidR="00993070" w:rsidRDefault="00993070">
      <w:pPr>
        <w:rPr>
          <w:rFonts w:asciiTheme="majorBidi" w:hAnsiTheme="majorBidi"/>
          <w:b/>
          <w:bCs/>
        </w:rPr>
      </w:pPr>
      <w:commentRangeStart w:id="0"/>
      <w:r>
        <w:rPr>
          <w:rFonts w:asciiTheme="majorBidi" w:hAnsiTheme="majorBidi"/>
          <w:b/>
          <w:bCs/>
        </w:rPr>
        <w:t>revisions</w:t>
      </w:r>
      <w:commentRangeEnd w:id="0"/>
      <w:r>
        <w:rPr>
          <w:rStyle w:val="CommentReference"/>
          <w:rFonts w:asciiTheme="majorBidi" w:hAnsiTheme="majorBidi"/>
          <w:b/>
          <w:bCs/>
          <w:sz w:val="24"/>
          <w:szCs w:val="24"/>
        </w:rPr>
        <w:commentReference w:id="0"/>
      </w:r>
    </w:p>
    <w:p w14:paraId="432D61F6" w14:textId="51E6CC5D" w:rsidR="000F7D60" w:rsidRDefault="00D052AB">
      <w:pPr>
        <w:rPr>
          <w:rFonts w:asciiTheme="majorBidi" w:hAnsiTheme="majorBidi"/>
          <w:b/>
          <w:bCs/>
        </w:rPr>
      </w:pPr>
      <w:r>
        <w:rPr>
          <w:rFonts w:asciiTheme="majorBidi" w:hAnsiTheme="majorBidi"/>
          <w:b/>
          <w:bCs/>
        </w:rPr>
        <w:t xml:space="preserve">BEYNON SAHIB P1 - </w:t>
      </w:r>
      <w:r w:rsidRPr="00D052AB">
        <w:rPr>
          <w:rFonts w:asciiTheme="majorBidi" w:hAnsiTheme="majorBidi"/>
          <w:b/>
          <w:bCs/>
        </w:rPr>
        <w:t>(a) these are the only two extant sociological accounts from within Period 1 itself, (b) this is a function of the archive's thinness, not a selection choice on your part, and (c) consequently claims about *institutional framing production* rest on a broader corpus (SWL, FCTI, letters, FBI files, press) while claims about *lived reception* are bounded by triangulating only these two observers against each other and against the movement's own self-representation. That sentence pre-empts the examiner's question entirely rather than leaving them to raise it.</w:t>
      </w:r>
    </w:p>
    <w:p w14:paraId="7D60F1D8" w14:textId="77777777" w:rsidR="000F7D60" w:rsidRDefault="000F7D60">
      <w:pPr>
        <w:rPr>
          <w:rFonts w:asciiTheme="majorBidi" w:hAnsiTheme="majorBidi"/>
          <w:b/>
          <w:bCs/>
        </w:rPr>
      </w:pPr>
    </w:p>
    <w:p w14:paraId="0B2AD7AB" w14:textId="77777777" w:rsidR="000F7D60" w:rsidRDefault="000F7D60" w:rsidP="000F7D60">
      <w:r>
        <w:t>- The FBI (1957, 1950) file citations are treated as fairly stable archival objects; given the chapter's own argument about FBI files as *interested* documents (not neutral records), slightly more procedural detail on how these files were accessed/authenticated (FOIA release? which repository?) would strengthen methodological transparency.</w:t>
      </w:r>
    </w:p>
    <w:p w14:paraId="4BA01CA8" w14:textId="77777777" w:rsidR="003C6682" w:rsidRDefault="003C6682">
      <w:pPr>
        <w:rPr>
          <w:rFonts w:asciiTheme="majorBidi" w:hAnsiTheme="majorBidi"/>
          <w:b/>
          <w:bCs/>
        </w:rPr>
      </w:pPr>
    </w:p>
    <w:p w14:paraId="58783292" w14:textId="77777777" w:rsidR="003C6682" w:rsidRPr="003A1483" w:rsidRDefault="003C6682" w:rsidP="003C6682">
      <w:pPr>
        <w:rPr>
          <w:color w:val="196B24" w:themeColor="accent3"/>
        </w:rPr>
      </w:pPr>
      <w:r w:rsidRPr="008A5CC0">
        <w:rPr>
          <w:color w:val="196B24" w:themeColor="accent3"/>
        </w:rPr>
        <w:t>Beynon’s (1938) sociological study warrants a specific caution in this respect</w:t>
      </w:r>
      <w:r>
        <w:rPr>
          <w:color w:val="196B24" w:themeColor="accent3"/>
        </w:rPr>
        <w:t xml:space="preserve"> as</w:t>
      </w:r>
      <w:r w:rsidRPr="008A5CC0">
        <w:rPr>
          <w:color w:val="196B24" w:themeColor="accent3"/>
        </w:rPr>
        <w:t xml:space="preserve"> its testimon</w:t>
      </w:r>
      <w:r>
        <w:rPr>
          <w:color w:val="196B24" w:themeColor="accent3"/>
        </w:rPr>
        <w:t>ies</w:t>
      </w:r>
      <w:r w:rsidRPr="008A5CC0">
        <w:rPr>
          <w:color w:val="196B24" w:themeColor="accent3"/>
        </w:rPr>
        <w:t xml:space="preserve"> derive</w:t>
      </w:r>
      <w:r>
        <w:rPr>
          <w:color w:val="196B24" w:themeColor="accent3"/>
        </w:rPr>
        <w:t xml:space="preserve"> </w:t>
      </w:r>
      <w:r w:rsidRPr="008A5CC0">
        <w:rPr>
          <w:color w:val="196B24" w:themeColor="accent3"/>
        </w:rPr>
        <w:t>from a small number of first-generation informants interviewed with the movement’s cooperation</w:t>
      </w:r>
      <w:r>
        <w:rPr>
          <w:color w:val="196B24" w:themeColor="accent3"/>
        </w:rPr>
        <w:t>. I</w:t>
      </w:r>
      <w:r w:rsidRPr="008A5CC0">
        <w:rPr>
          <w:color w:val="196B24" w:themeColor="accent3"/>
        </w:rPr>
        <w:t xml:space="preserve">t is treated </w:t>
      </w:r>
      <w:r>
        <w:rPr>
          <w:color w:val="196B24" w:themeColor="accent3"/>
        </w:rPr>
        <w:t xml:space="preserve">here </w:t>
      </w:r>
      <w:r w:rsidRPr="008A5CC0">
        <w:rPr>
          <w:color w:val="196B24" w:themeColor="accent3"/>
        </w:rPr>
        <w:t>as evidence of what these particular converts expressed to a sympathetic outside observer</w:t>
      </w:r>
      <w:r>
        <w:rPr>
          <w:color w:val="196B24" w:themeColor="accent3"/>
        </w:rPr>
        <w:t xml:space="preserve">, and thus not necessarily </w:t>
      </w:r>
      <w:r w:rsidRPr="008A5CC0">
        <w:rPr>
          <w:color w:val="196B24" w:themeColor="accent3"/>
        </w:rPr>
        <w:t>as a representative account of membership-wide psychological experience.</w:t>
      </w:r>
    </w:p>
    <w:p w14:paraId="20A48B38" w14:textId="77777777" w:rsidR="00F157E8" w:rsidRDefault="00F157E8" w:rsidP="003C6682">
      <w:pPr>
        <w:rPr>
          <w:rFonts w:asciiTheme="majorBidi" w:hAnsiTheme="majorBidi"/>
          <w:b/>
          <w:bCs/>
        </w:rPr>
      </w:pPr>
    </w:p>
    <w:p w14:paraId="63D08ACE" w14:textId="77777777" w:rsidR="00F157E8" w:rsidRDefault="00F157E8" w:rsidP="003C6682">
      <w:pPr>
        <w:rPr>
          <w:rFonts w:asciiTheme="majorBidi" w:hAnsiTheme="majorBidi"/>
          <w:b/>
          <w:bCs/>
        </w:rPr>
      </w:pPr>
    </w:p>
    <w:p w14:paraId="3C597163" w14:textId="1C0E5518" w:rsidR="00D052AB" w:rsidRDefault="00F157E8" w:rsidP="003C6682">
      <w:pPr>
        <w:rPr>
          <w:rFonts w:asciiTheme="majorBidi" w:hAnsiTheme="majorBidi"/>
        </w:rPr>
      </w:pPr>
      <w:commentRangeStart w:id="1"/>
      <w:r w:rsidRPr="00F157E8">
        <w:rPr>
          <w:rFonts w:asciiTheme="majorBidi" w:hAnsiTheme="majorBidi"/>
        </w:rPr>
        <w:t>Given the corpus’s comparative thinness for this period, the staged pilot-then-expansion sampling procedure set out in the methodology chapter was initiated but did not prove necessary in its full quantitative form here. An initial subset was drawn as a first pass, consistent with the pilot stage described in the methodology; however, the total extant primary corpus for Period 1 amounts to approximately fifteen sources, principally the Supreme Wisdom Lessons, the Rules of Instruction, and the two 1933–34 letters attributed to Fard and Elijah Muhammad, treated as admissible primary textual objects notwithstanding contested questions of authorship, together with Beynon’s (1938) and Sahib’s (1995 [1951]) contemporary accounts and FBI records. Because this full set was small enough to read and code in its entirety, the initial subset was subsumed into a complete reading of all fifteen sources rather than expanded through a second, larger sampling stage. Analysis therefore proceeds from a near-exhaustive rather than a sampled reading of the primary material for this period; the pilot/expansion distinction described in the methodology becomes analytically necessary from Period 2 onward, once press runs and recorded speeches substantially expand the available textual base beyond a corpus a single close reading can exhaust.</w:t>
      </w:r>
      <w:commentRangeEnd w:id="1"/>
      <w:r w:rsidRPr="00F157E8">
        <w:rPr>
          <w:rStyle w:val="CommentReference"/>
          <w:rFonts w:asciiTheme="majorBidi" w:hAnsiTheme="majorBidi"/>
          <w:sz w:val="24"/>
          <w:szCs w:val="24"/>
        </w:rPr>
        <w:commentReference w:id="1"/>
      </w:r>
      <w:r w:rsidR="00D052AB" w:rsidRPr="00F157E8">
        <w:rPr>
          <w:rFonts w:asciiTheme="majorBidi" w:hAnsiTheme="majorBidi"/>
        </w:rPr>
        <w:br w:type="page"/>
      </w:r>
    </w:p>
    <w:p w14:paraId="55BF142D" w14:textId="77777777" w:rsidR="002D0556" w:rsidRPr="000E5F73" w:rsidRDefault="002D0556" w:rsidP="002D0556">
      <w:pPr>
        <w:numPr>
          <w:ilvl w:val="0"/>
          <w:numId w:val="31"/>
        </w:numPr>
      </w:pPr>
      <w:r w:rsidRPr="000E5F73">
        <w:rPr>
          <w:i/>
          <w:iCs/>
        </w:rPr>
        <w:lastRenderedPageBreak/>
        <w:t>Minimum revision</w:t>
      </w:r>
      <w:r w:rsidRPr="000E5F73">
        <w:t>: Soften the methodology's "not... separate phases" language to match the chapter's actual sequential-but-complementary practice, or accept the mismatch as a documented, examiner-flaggable adaptation in the Reflections/Adaptations section.</w:t>
      </w:r>
    </w:p>
    <w:p w14:paraId="4438E53C" w14:textId="77777777" w:rsidR="002D0556" w:rsidRDefault="002D0556" w:rsidP="003C6682">
      <w:pPr>
        <w:rPr>
          <w:rFonts w:asciiTheme="majorBidi" w:hAnsiTheme="majorBidi"/>
        </w:rPr>
      </w:pPr>
    </w:p>
    <w:p w14:paraId="4C14EA0D" w14:textId="77777777" w:rsidR="00550E03" w:rsidRPr="000E5F73" w:rsidRDefault="00550E03" w:rsidP="00550E03">
      <w:pPr>
        <w:numPr>
          <w:ilvl w:val="0"/>
          <w:numId w:val="32"/>
        </w:numPr>
      </w:pPr>
      <w:commentRangeStart w:id="2"/>
      <w:commentRangeStart w:id="3"/>
      <w:r w:rsidRPr="000E5F73">
        <w:rPr>
          <w:i/>
          <w:iCs/>
        </w:rPr>
        <w:t>Minimum revision</w:t>
      </w:r>
      <w:r w:rsidRPr="000E5F73">
        <w:t>: Either drop the amplification/bridging/extension/software commitments from the methodology (since Period 1, at minimum, does not use them) or add one clearly signposted paragraph applying at least one of these processes to an actual transition in the chapter (the Fard→Elijah succession is the obvious candidate, since it already gets close analytic attention).</w:t>
      </w:r>
      <w:commentRangeEnd w:id="2"/>
      <w:r w:rsidRPr="000E5F73">
        <w:rPr>
          <w:rStyle w:val="CommentReference"/>
          <w:sz w:val="24"/>
          <w:szCs w:val="24"/>
        </w:rPr>
        <w:commentReference w:id="2"/>
      </w:r>
      <w:commentRangeEnd w:id="3"/>
      <w:r w:rsidR="003B0001" w:rsidRPr="000E5F73">
        <w:rPr>
          <w:rStyle w:val="CommentReference"/>
          <w:sz w:val="24"/>
          <w:szCs w:val="24"/>
        </w:rPr>
        <w:commentReference w:id="3"/>
      </w:r>
    </w:p>
    <w:p w14:paraId="011487D9" w14:textId="77777777" w:rsidR="002D0556" w:rsidRDefault="002D0556" w:rsidP="003C6682">
      <w:pPr>
        <w:rPr>
          <w:rFonts w:asciiTheme="majorBidi" w:hAnsiTheme="majorBidi"/>
        </w:rPr>
      </w:pPr>
    </w:p>
    <w:p w14:paraId="2C5E5E62" w14:textId="77777777" w:rsidR="00B3145A" w:rsidRDefault="00B3145A" w:rsidP="00B3145A">
      <w:pPr>
        <w:numPr>
          <w:ilvl w:val="0"/>
          <w:numId w:val="33"/>
        </w:numPr>
      </w:pPr>
      <w:commentRangeStart w:id="4"/>
      <w:r w:rsidRPr="000E5F73">
        <w:rPr>
          <w:i/>
          <w:iCs/>
        </w:rPr>
        <w:t>Minimum revision</w:t>
      </w:r>
      <w:r w:rsidRPr="000E5F73">
        <w:t>: A short corpus note near the start of Period 1 (which already partly exists in the Introduction) stating the actual scale of the Period 1 corpus and whether the pilot/expansion procedure was in fact followed for this period, or explicitly stating that Period 1's dense-but-thin corpus made the staged sampling procedure inapplicable and describing what was done instead. Either is defensible; silence is not.</w:t>
      </w:r>
      <w:commentRangeEnd w:id="4"/>
      <w:r>
        <w:rPr>
          <w:rStyle w:val="CommentReference"/>
          <w:sz w:val="24"/>
          <w:szCs w:val="24"/>
        </w:rPr>
        <w:commentReference w:id="4"/>
      </w:r>
    </w:p>
    <w:p w14:paraId="5B26CCCC" w14:textId="77777777" w:rsidR="006D4169" w:rsidRDefault="006D4169" w:rsidP="006D4169"/>
    <w:p w14:paraId="6D66AAB2" w14:textId="77777777" w:rsidR="006D4169" w:rsidRPr="000E5F73" w:rsidRDefault="006D4169" w:rsidP="006D4169">
      <w:r w:rsidRPr="000E5F73">
        <w:t>1. Fard's leadership is excluded from the study's methods, then extensively analysed by them anyway.</w:t>
      </w:r>
    </w:p>
    <w:p w14:paraId="16AF5206" w14:textId="77777777" w:rsidR="006D4169" w:rsidRPr="000E5F73" w:rsidRDefault="006D4169" w:rsidP="006D4169">
      <w:pPr>
        <w:numPr>
          <w:ilvl w:val="0"/>
          <w:numId w:val="34"/>
        </w:numPr>
      </w:pPr>
      <w:r w:rsidRPr="000E5F73">
        <w:rPr>
          <w:i/>
          <w:iCs/>
        </w:rPr>
        <w:t>Promise</w:t>
      </w:r>
      <w:r w:rsidRPr="000E5F73">
        <w:t>: The methodology explicitly states that Fard's leadership is too evidentially thin to be analysed "using the methodological tools employed in this study, which rely heavily on traceable rhetorical and organisational materials," and reserves for him only a "foundational analysis" of the "primordial frames" that Elijah subsequently manages.</w:t>
      </w:r>
    </w:p>
    <w:p w14:paraId="5EEA5E42" w14:textId="77777777" w:rsidR="006D4169" w:rsidRPr="000E5F73" w:rsidRDefault="006D4169" w:rsidP="006D4169">
      <w:pPr>
        <w:numPr>
          <w:ilvl w:val="0"/>
          <w:numId w:val="34"/>
        </w:numPr>
      </w:pPr>
      <w:r w:rsidRPr="000E5F73">
        <w:rPr>
          <w:i/>
          <w:iCs/>
        </w:rPr>
        <w:t>Practice</w:t>
      </w:r>
      <w:r w:rsidRPr="000E5F73">
        <w:t>: The chapter does not treat Fard's material as inert background. It runs full diagnostic, prognostic, and motivational frame coding directly on texts attributed to Fard (the Lessons, Rules of Instruction, the two letters), and dedicates an entire Ethos subsection to "Fard's ethos is constructed through several mutually reinforcing forms of credibility" — i.e., the same rhetorical-critical apparatus used for Elijah, applied to the leader the methodology said the apparatus could not support.</w:t>
      </w:r>
    </w:p>
    <w:p w14:paraId="602EFF03" w14:textId="77777777" w:rsidR="006D4169" w:rsidRPr="000E5F73" w:rsidRDefault="006D4169" w:rsidP="006D4169">
      <w:pPr>
        <w:numPr>
          <w:ilvl w:val="0"/>
          <w:numId w:val="34"/>
        </w:numPr>
      </w:pPr>
      <w:r w:rsidRPr="000E5F73">
        <w:rPr>
          <w:i/>
          <w:iCs/>
        </w:rPr>
        <w:t>Severity</w:t>
      </w:r>
      <w:r w:rsidRPr="000E5F73">
        <w:t>: Major. This is a direct, checkable contradiction between a stated evidentiary limitation and the analytical practice built on the excluded material.</w:t>
      </w:r>
    </w:p>
    <w:p w14:paraId="05FA0BA8" w14:textId="77777777" w:rsidR="006D4169" w:rsidRPr="000E5F73" w:rsidRDefault="006D4169" w:rsidP="006D4169">
      <w:pPr>
        <w:numPr>
          <w:ilvl w:val="0"/>
          <w:numId w:val="34"/>
        </w:numPr>
      </w:pPr>
      <w:r w:rsidRPr="000E5F73">
        <w:rPr>
          <w:i/>
          <w:iCs/>
        </w:rPr>
        <w:t>Minimum revision</w:t>
      </w:r>
      <w:r w:rsidRPr="000E5F73">
        <w:t xml:space="preserve">: Either narrow the methodology's exclusion claim (state what kind of Fard-attributed material is admissible and why, e.g. treating the </w:t>
      </w:r>
      <w:r w:rsidRPr="000E5F73">
        <w:lastRenderedPageBreak/>
        <w:t>Lessons/letters as sufficiently stable textual objects despite contested authorship) or scale back the chapter's treatment of Fard to genuinely foundational/backdrop status and move the frame-coding weight explicitly onto Elijah's reception and elaboration of it.</w:t>
      </w:r>
    </w:p>
    <w:p w14:paraId="55670CE6" w14:textId="77777777" w:rsidR="006D4169" w:rsidRPr="000E5F73" w:rsidRDefault="006D4169" w:rsidP="006D4169"/>
    <w:p w14:paraId="4ACC96FB" w14:textId="77777777" w:rsidR="00C95045" w:rsidRDefault="00C95045" w:rsidP="003C6682">
      <w:pPr>
        <w:rPr>
          <w:rFonts w:asciiTheme="majorBidi" w:hAnsiTheme="majorBidi"/>
        </w:rPr>
      </w:pPr>
    </w:p>
    <w:p w14:paraId="2A80AC70" w14:textId="77900A18" w:rsidR="00C95045" w:rsidRDefault="00C95045" w:rsidP="003C6682">
      <w:pPr>
        <w:rPr>
          <w:rFonts w:asciiTheme="majorBidi" w:hAnsiTheme="majorBidi"/>
        </w:rPr>
      </w:pPr>
      <w:r>
        <w:rPr>
          <w:rFonts w:asciiTheme="majorBidi" w:hAnsiTheme="majorBidi"/>
        </w:rPr>
        <w:t>If no interviews:</w:t>
      </w:r>
    </w:p>
    <w:p w14:paraId="366BBB45" w14:textId="77777777" w:rsidR="00C95045" w:rsidRPr="000E5F73" w:rsidRDefault="00C95045" w:rsidP="00C95045">
      <w:r w:rsidRPr="000E5F73">
        <w:t>6. Reception is promised as a causal process requiring interview data; Period 1 substitutes Beynon's testimony without renewing the caveat the methodology itself demands.</w:t>
      </w:r>
    </w:p>
    <w:p w14:paraId="5DFC174A" w14:textId="77777777" w:rsidR="00C95045" w:rsidRPr="000E5F73" w:rsidRDefault="00C95045" w:rsidP="00C95045">
      <w:pPr>
        <w:numPr>
          <w:ilvl w:val="0"/>
          <w:numId w:val="30"/>
        </w:numPr>
      </w:pPr>
      <w:r w:rsidRPr="000E5F73">
        <w:rPr>
          <w:i/>
          <w:iCs/>
        </w:rPr>
        <w:t>Promise</w:t>
      </w:r>
      <w:r w:rsidRPr="000E5F73">
        <w:t>: The methodology gives reception its own section specifically because "reception is treated as a causal process," to be evidenced through interviews and oral histories with members/former members. Separately, the methodology's own reviewer-layer flags that Beynon's (1938) informants are a small, movement-cooperating sample and should not be read as representative of "membership-wide psychological experience."</w:t>
      </w:r>
    </w:p>
    <w:p w14:paraId="2B1647D4" w14:textId="77777777" w:rsidR="00C95045" w:rsidRPr="000E5F73" w:rsidRDefault="00C95045" w:rsidP="00C95045">
      <w:pPr>
        <w:numPr>
          <w:ilvl w:val="0"/>
          <w:numId w:val="30"/>
        </w:numPr>
      </w:pPr>
      <w:r w:rsidRPr="000E5F73">
        <w:rPr>
          <w:i/>
          <w:iCs/>
        </w:rPr>
        <w:t>Practice</w:t>
      </w:r>
      <w:r w:rsidRPr="000E5F73">
        <w:t>: Period 1 has no interview data (unsurprising, since no living informants from the 1930s exist) and instead relies heavily and repeatedly on Beynon's handful of converts, often in generalized language ("members recalled," "members reported," "members ... became so ashamed") that reads as claims about the membership rather than about Beynon's specific informants. My earlier edit added one caveat sentence at the point Beynon is introduced, but the generalizing pattern recurs at several later points (the nomination section, the name-transformation section) without the caveat being carried forward.</w:t>
      </w:r>
    </w:p>
    <w:p w14:paraId="10CE509B" w14:textId="77777777" w:rsidR="00C95045" w:rsidRPr="000E5F73" w:rsidRDefault="00C95045" w:rsidP="00C95045">
      <w:pPr>
        <w:numPr>
          <w:ilvl w:val="0"/>
          <w:numId w:val="30"/>
        </w:numPr>
      </w:pPr>
      <w:r w:rsidRPr="000E5F73">
        <w:rPr>
          <w:i/>
          <w:iCs/>
        </w:rPr>
        <w:t>Severity</w:t>
      </w:r>
      <w:r w:rsidRPr="000E5F73">
        <w:t>: Moderate. This is a real corpus-substitution the reviewer has already anticipated; the chapter's fix so far treats it as a one-time disclosure rather than a standing constraint on phrasing.</w:t>
      </w:r>
    </w:p>
    <w:p w14:paraId="55F713D0" w14:textId="77777777" w:rsidR="00C95045" w:rsidRPr="000E5F73" w:rsidRDefault="00C95045" w:rsidP="00C95045">
      <w:pPr>
        <w:numPr>
          <w:ilvl w:val="0"/>
          <w:numId w:val="30"/>
        </w:numPr>
      </w:pPr>
      <w:r w:rsidRPr="000E5F73">
        <w:rPr>
          <w:i/>
          <w:iCs/>
        </w:rPr>
        <w:t>Minimum revision</w:t>
      </w:r>
      <w:r w:rsidRPr="000E5F73">
        <w:t>: Either consistently qualify generalizing claims drawn from Beynon ("Beynon's informants reported..." rather than "members reported...") at the specific points where they occur, or add one sentence to the reception discussion in the introduction stating that Period 1's reception evidence is bounded to Beynon's small sample and is used illustratively rather than representatively — then let subsequent phrasing follow that stated scope.</w:t>
      </w:r>
    </w:p>
    <w:p w14:paraId="131C0EAD" w14:textId="77777777" w:rsidR="00C95045" w:rsidRPr="00F157E8" w:rsidRDefault="00C95045" w:rsidP="00C95045">
      <w:pPr>
        <w:rPr>
          <w:rFonts w:asciiTheme="majorBidi" w:hAnsiTheme="majorBidi"/>
        </w:rPr>
      </w:pPr>
    </w:p>
    <w:p w14:paraId="76084E6E" w14:textId="77777777" w:rsidR="00C95045" w:rsidRDefault="00C95045">
      <w:pPr>
        <w:rPr>
          <w:rFonts w:asciiTheme="majorBidi" w:hAnsiTheme="majorBidi"/>
          <w:highlight w:val="lightGray"/>
        </w:rPr>
      </w:pPr>
      <w:r>
        <w:rPr>
          <w:rFonts w:asciiTheme="majorBidi" w:hAnsiTheme="majorBidi"/>
          <w:highlight w:val="lightGray"/>
        </w:rPr>
        <w:br w:type="page"/>
      </w:r>
    </w:p>
    <w:p w14:paraId="5DD9E17B" w14:textId="3DDD8371" w:rsidR="006D3065" w:rsidRPr="006D3065" w:rsidRDefault="006D3065" w:rsidP="00C95045">
      <w:pPr>
        <w:ind w:left="360"/>
        <w:rPr>
          <w:rFonts w:asciiTheme="majorBidi" w:hAnsiTheme="majorBidi"/>
        </w:rPr>
      </w:pPr>
      <w:r w:rsidRPr="006D3065">
        <w:rPr>
          <w:rFonts w:asciiTheme="majorBidi" w:hAnsiTheme="majorBidi"/>
          <w:b/>
          <w:bCs/>
        </w:rPr>
        <w:lastRenderedPageBreak/>
        <w:t>Methodological Orientation</w:t>
      </w:r>
    </w:p>
    <w:p w14:paraId="0AAC1676" w14:textId="77777777" w:rsidR="006D3065" w:rsidRPr="006D3065" w:rsidRDefault="006D3065" w:rsidP="006D3065">
      <w:pPr>
        <w:rPr>
          <w:rFonts w:asciiTheme="majorBidi" w:hAnsiTheme="majorBidi"/>
        </w:rPr>
      </w:pPr>
      <w:r w:rsidRPr="006D3065">
        <w:rPr>
          <w:rFonts w:asciiTheme="majorBidi" w:hAnsiTheme="majorBidi"/>
        </w:rPr>
        <w:t>This section establishes the philosophical and explanatory logic of the chapter. It briefly restates the role of Perspectival Critical Realism and explains how mechanism identification, retroduction, and process tracing guide the research design. It clarifies that the study integrates interpretive analysis with causal explanation.</w:t>
      </w:r>
    </w:p>
    <w:p w14:paraId="06E65A21" w14:textId="77777777" w:rsidR="006D3065" w:rsidRPr="006D3065" w:rsidRDefault="006D3065" w:rsidP="006D3065">
      <w:pPr>
        <w:numPr>
          <w:ilvl w:val="0"/>
          <w:numId w:val="14"/>
        </w:numPr>
        <w:rPr>
          <w:rFonts w:asciiTheme="majorBidi" w:hAnsiTheme="majorBidi"/>
        </w:rPr>
      </w:pPr>
      <w:r w:rsidRPr="006D3065">
        <w:rPr>
          <w:rFonts w:asciiTheme="majorBidi" w:hAnsiTheme="majorBidi"/>
          <w:b/>
          <w:bCs/>
        </w:rPr>
        <w:t>Research Design</w:t>
      </w:r>
    </w:p>
    <w:p w14:paraId="4E1C4C60" w14:textId="77777777" w:rsidR="006D3065" w:rsidRPr="006D3065" w:rsidRDefault="006D3065" w:rsidP="006D3065">
      <w:pPr>
        <w:rPr>
          <w:rFonts w:asciiTheme="majorBidi" w:hAnsiTheme="majorBidi"/>
        </w:rPr>
      </w:pPr>
      <w:r w:rsidRPr="006D3065">
        <w:rPr>
          <w:rFonts w:asciiTheme="majorBidi" w:hAnsiTheme="majorBidi"/>
        </w:rPr>
        <w:t>This section explains the overall design of the study as a historically structured case analysis of the Nation of Islam. It introduces the temporal framework used for comparison across leadership periods and clarifies that the project adopts a diachronic approach to framing and mobilisation. The section also introduces the layered analytical structure linking performance, organisation, and mobilisation.</w:t>
      </w:r>
    </w:p>
    <w:p w14:paraId="2EAAD50B" w14:textId="77777777" w:rsidR="006D3065" w:rsidRPr="006D3065" w:rsidRDefault="006D3065" w:rsidP="006D3065">
      <w:pPr>
        <w:numPr>
          <w:ilvl w:val="0"/>
          <w:numId w:val="15"/>
        </w:numPr>
        <w:rPr>
          <w:rFonts w:asciiTheme="majorBidi" w:hAnsiTheme="majorBidi"/>
        </w:rPr>
      </w:pPr>
      <w:r w:rsidRPr="006D3065">
        <w:rPr>
          <w:rFonts w:asciiTheme="majorBidi" w:hAnsiTheme="majorBidi"/>
          <w:b/>
          <w:bCs/>
        </w:rPr>
        <w:t>Case Selection and Temporal Scope</w:t>
      </w:r>
    </w:p>
    <w:p w14:paraId="6ABBDC7D" w14:textId="77777777" w:rsidR="006D3065" w:rsidRPr="006D3065" w:rsidRDefault="006D3065" w:rsidP="006D3065">
      <w:pPr>
        <w:rPr>
          <w:rFonts w:asciiTheme="majorBidi" w:hAnsiTheme="majorBidi"/>
        </w:rPr>
      </w:pPr>
      <w:r w:rsidRPr="006D3065">
        <w:rPr>
          <w:rFonts w:asciiTheme="majorBidi" w:hAnsiTheme="majorBidi"/>
        </w:rPr>
        <w:t>This section justifies the Nation of Islam as a case suitable for analysing leadership transitions and frame evolution. It explains the periodisation of the study and the rationale for selecting key leadership phases. The discussion should align with the historical divisions already established in the framework.</w:t>
      </w:r>
    </w:p>
    <w:p w14:paraId="44068AEA" w14:textId="77777777" w:rsidR="006D3065" w:rsidRPr="006D3065" w:rsidRDefault="006D3065" w:rsidP="006D3065">
      <w:pPr>
        <w:numPr>
          <w:ilvl w:val="0"/>
          <w:numId w:val="16"/>
        </w:numPr>
        <w:rPr>
          <w:rFonts w:asciiTheme="majorBidi" w:hAnsiTheme="majorBidi"/>
        </w:rPr>
      </w:pPr>
      <w:r w:rsidRPr="006D3065">
        <w:rPr>
          <w:rFonts w:asciiTheme="majorBidi" w:hAnsiTheme="majorBidi"/>
          <w:b/>
          <w:bCs/>
        </w:rPr>
        <w:t>Sampling Strategy</w:t>
      </w:r>
    </w:p>
    <w:p w14:paraId="4A0C153D" w14:textId="77777777" w:rsidR="006D3065" w:rsidRPr="006D3065" w:rsidRDefault="006D3065" w:rsidP="006D3065">
      <w:pPr>
        <w:rPr>
          <w:rFonts w:asciiTheme="majorBidi" w:hAnsiTheme="majorBidi"/>
        </w:rPr>
      </w:pPr>
      <w:r w:rsidRPr="006D3065">
        <w:rPr>
          <w:rFonts w:asciiTheme="majorBidi" w:hAnsiTheme="majorBidi"/>
        </w:rPr>
        <w:t>This section replaces your earlier breakdown but retains the substance.</w:t>
      </w:r>
    </w:p>
    <w:p w14:paraId="4C97A405" w14:textId="77777777" w:rsidR="006D3065" w:rsidRPr="006D3065" w:rsidRDefault="006D3065" w:rsidP="006D3065">
      <w:pPr>
        <w:rPr>
          <w:rFonts w:asciiTheme="majorBidi" w:hAnsiTheme="majorBidi"/>
        </w:rPr>
      </w:pPr>
      <w:r w:rsidRPr="006D3065">
        <w:rPr>
          <w:rFonts w:asciiTheme="majorBidi" w:hAnsiTheme="majorBidi"/>
        </w:rPr>
        <w:t>Subsections should address:</w:t>
      </w:r>
    </w:p>
    <w:p w14:paraId="707C2C01" w14:textId="77777777" w:rsidR="006D3065" w:rsidRPr="006D3065" w:rsidRDefault="006D3065" w:rsidP="006D3065">
      <w:pPr>
        <w:rPr>
          <w:rFonts w:asciiTheme="majorBidi" w:hAnsiTheme="majorBidi"/>
        </w:rPr>
      </w:pPr>
      <w:r w:rsidRPr="006D3065">
        <w:rPr>
          <w:rFonts w:asciiTheme="majorBidi" w:hAnsiTheme="majorBidi"/>
        </w:rPr>
        <w:t xml:space="preserve">• </w:t>
      </w:r>
      <w:r w:rsidRPr="006D3065">
        <w:rPr>
          <w:rFonts w:asciiTheme="majorBidi" w:hAnsiTheme="majorBidi"/>
          <w:b/>
          <w:bCs/>
        </w:rPr>
        <w:t>Leadership actors and participants</w:t>
      </w:r>
      <w:r w:rsidRPr="006D3065">
        <w:rPr>
          <w:rFonts w:asciiTheme="majorBidi" w:hAnsiTheme="majorBidi"/>
        </w:rPr>
        <w:t xml:space="preserve"> – the leaders analysed and the categories of members or former members considered for interviews.</w:t>
      </w:r>
      <w:r w:rsidRPr="006D3065">
        <w:rPr>
          <w:rFonts w:asciiTheme="majorBidi" w:hAnsiTheme="majorBidi"/>
        </w:rPr>
        <w:br/>
        <w:t xml:space="preserve">• </w:t>
      </w:r>
      <w:r w:rsidRPr="006D3065">
        <w:rPr>
          <w:rFonts w:asciiTheme="majorBidi" w:hAnsiTheme="majorBidi"/>
          <w:b/>
          <w:bCs/>
        </w:rPr>
        <w:t>Temporal sampling</w:t>
      </w:r>
      <w:r w:rsidRPr="006D3065">
        <w:rPr>
          <w:rFonts w:asciiTheme="majorBidi" w:hAnsiTheme="majorBidi"/>
        </w:rPr>
        <w:t xml:space="preserve"> – how texts and events are selected across leadership periods.</w:t>
      </w:r>
      <w:r w:rsidRPr="006D3065">
        <w:rPr>
          <w:rFonts w:asciiTheme="majorBidi" w:hAnsiTheme="majorBidi"/>
        </w:rPr>
        <w:br/>
        <w:t xml:space="preserve">• </w:t>
      </w:r>
      <w:r w:rsidRPr="006D3065">
        <w:rPr>
          <w:rFonts w:asciiTheme="majorBidi" w:hAnsiTheme="majorBidi"/>
          <w:b/>
          <w:bCs/>
        </w:rPr>
        <w:t>Material selection</w:t>
      </w:r>
      <w:r w:rsidRPr="006D3065">
        <w:rPr>
          <w:rFonts w:asciiTheme="majorBidi" w:hAnsiTheme="majorBidi"/>
        </w:rPr>
        <w:t xml:space="preserve"> – criteria used to identify speeches, sermons, newspapers, pamphlets, and other sources.</w:t>
      </w:r>
    </w:p>
    <w:p w14:paraId="66B11A8C" w14:textId="77777777" w:rsidR="006D3065" w:rsidRPr="006D3065" w:rsidRDefault="006D3065" w:rsidP="006D3065">
      <w:pPr>
        <w:numPr>
          <w:ilvl w:val="0"/>
          <w:numId w:val="17"/>
        </w:numPr>
        <w:rPr>
          <w:rFonts w:asciiTheme="majorBidi" w:hAnsiTheme="majorBidi"/>
        </w:rPr>
      </w:pPr>
      <w:r w:rsidRPr="006D3065">
        <w:rPr>
          <w:rFonts w:asciiTheme="majorBidi" w:hAnsiTheme="majorBidi"/>
          <w:b/>
          <w:bCs/>
        </w:rPr>
        <w:t>Data Sources and Collection</w:t>
      </w:r>
    </w:p>
    <w:p w14:paraId="33545430" w14:textId="77777777" w:rsidR="006D3065" w:rsidRPr="006D3065" w:rsidRDefault="006D3065" w:rsidP="006D3065">
      <w:pPr>
        <w:rPr>
          <w:rFonts w:asciiTheme="majorBidi" w:hAnsiTheme="majorBidi"/>
        </w:rPr>
      </w:pPr>
      <w:r w:rsidRPr="006D3065">
        <w:rPr>
          <w:rFonts w:asciiTheme="majorBidi" w:hAnsiTheme="majorBidi"/>
        </w:rPr>
        <w:t>This section should integrate all empirical materials.</w:t>
      </w:r>
    </w:p>
    <w:p w14:paraId="452E7B6C" w14:textId="77777777" w:rsidR="006D3065" w:rsidRPr="006D3065" w:rsidRDefault="006D3065" w:rsidP="006D3065">
      <w:pPr>
        <w:rPr>
          <w:rFonts w:asciiTheme="majorBidi" w:hAnsiTheme="majorBidi"/>
        </w:rPr>
      </w:pPr>
      <w:r w:rsidRPr="006D3065">
        <w:rPr>
          <w:rFonts w:asciiTheme="majorBidi" w:hAnsiTheme="majorBidi"/>
        </w:rPr>
        <w:t>Subsections might include:</w:t>
      </w:r>
    </w:p>
    <w:p w14:paraId="2341AABD" w14:textId="77777777" w:rsidR="006D3065" w:rsidRPr="006D3065" w:rsidRDefault="006D3065" w:rsidP="006D3065">
      <w:pPr>
        <w:rPr>
          <w:rFonts w:asciiTheme="majorBidi" w:hAnsiTheme="majorBidi"/>
        </w:rPr>
      </w:pPr>
      <w:r w:rsidRPr="006D3065">
        <w:rPr>
          <w:rFonts w:asciiTheme="majorBidi" w:hAnsiTheme="majorBidi"/>
        </w:rPr>
        <w:t xml:space="preserve">• </w:t>
      </w:r>
      <w:r w:rsidRPr="006D3065">
        <w:rPr>
          <w:rFonts w:asciiTheme="majorBidi" w:hAnsiTheme="majorBidi"/>
          <w:b/>
          <w:bCs/>
        </w:rPr>
        <w:t>Textual and archival materials</w:t>
      </w:r>
      <w:r w:rsidRPr="006D3065">
        <w:rPr>
          <w:rFonts w:asciiTheme="majorBidi" w:hAnsiTheme="majorBidi"/>
        </w:rPr>
        <w:t xml:space="preserve"> – sermons, speeches, editorials, pamphlets, internal newspapers, organisational records, and media coverage.</w:t>
      </w:r>
      <w:r w:rsidRPr="006D3065">
        <w:rPr>
          <w:rFonts w:asciiTheme="majorBidi" w:hAnsiTheme="majorBidi"/>
        </w:rPr>
        <w:br/>
        <w:t xml:space="preserve">• </w:t>
      </w:r>
      <w:r w:rsidRPr="006D3065">
        <w:rPr>
          <w:rFonts w:asciiTheme="majorBidi" w:hAnsiTheme="majorBidi"/>
          <w:b/>
          <w:bCs/>
        </w:rPr>
        <w:t>Organisational and mobilisation indicators</w:t>
      </w:r>
      <w:r w:rsidRPr="006D3065">
        <w:rPr>
          <w:rFonts w:asciiTheme="majorBidi" w:hAnsiTheme="majorBidi"/>
        </w:rPr>
        <w:t xml:space="preserve"> – membership figures, institutional development, event frequency, surveillance records, and similar sources used to trace movement outcomes.</w:t>
      </w:r>
      <w:r w:rsidRPr="006D3065">
        <w:rPr>
          <w:rFonts w:asciiTheme="majorBidi" w:hAnsiTheme="majorBidi"/>
        </w:rPr>
        <w:br/>
        <w:t xml:space="preserve">• </w:t>
      </w:r>
      <w:r w:rsidRPr="006D3065">
        <w:rPr>
          <w:rFonts w:asciiTheme="majorBidi" w:hAnsiTheme="majorBidi"/>
          <w:b/>
          <w:bCs/>
        </w:rPr>
        <w:t>Fieldwork and interviews</w:t>
      </w:r>
      <w:r w:rsidRPr="006D3065">
        <w:rPr>
          <w:rFonts w:asciiTheme="majorBidi" w:hAnsiTheme="majorBidi"/>
        </w:rPr>
        <w:t xml:space="preserve"> – interviews with members or former members who experienced leadership transitions, including recruitment strategy and interview format.</w:t>
      </w:r>
    </w:p>
    <w:p w14:paraId="293FD999" w14:textId="77777777" w:rsidR="006D3065" w:rsidRPr="006D3065" w:rsidRDefault="006D3065" w:rsidP="006D3065">
      <w:pPr>
        <w:numPr>
          <w:ilvl w:val="0"/>
          <w:numId w:val="18"/>
        </w:numPr>
        <w:rPr>
          <w:rFonts w:asciiTheme="majorBidi" w:hAnsiTheme="majorBidi"/>
        </w:rPr>
      </w:pPr>
      <w:r w:rsidRPr="006D3065">
        <w:rPr>
          <w:rFonts w:asciiTheme="majorBidi" w:hAnsiTheme="majorBidi"/>
          <w:b/>
          <w:bCs/>
        </w:rPr>
        <w:t>Reception Analysis</w:t>
      </w:r>
    </w:p>
    <w:p w14:paraId="118B7A42" w14:textId="77777777" w:rsidR="006D3065" w:rsidRPr="006D3065" w:rsidRDefault="006D3065" w:rsidP="006D3065">
      <w:pPr>
        <w:rPr>
          <w:rFonts w:asciiTheme="majorBidi" w:hAnsiTheme="majorBidi"/>
        </w:rPr>
      </w:pPr>
      <w:r w:rsidRPr="006D3065">
        <w:rPr>
          <w:rFonts w:asciiTheme="majorBidi" w:hAnsiTheme="majorBidi"/>
        </w:rPr>
        <w:lastRenderedPageBreak/>
        <w:t>Because reception is treated as a causal process in your framework, this deserves its own section rather than appearing only under interviews. This section explains how interviews, oral histories, and reception accounts are used to analyse how members interpret leadership rhetoric and how this affects frame resonance.</w:t>
      </w:r>
    </w:p>
    <w:p w14:paraId="2EDDE7E1" w14:textId="77777777" w:rsidR="006D3065" w:rsidRPr="006D3065" w:rsidRDefault="006D3065" w:rsidP="006D3065">
      <w:pPr>
        <w:numPr>
          <w:ilvl w:val="0"/>
          <w:numId w:val="19"/>
        </w:numPr>
        <w:rPr>
          <w:rFonts w:asciiTheme="majorBidi" w:hAnsiTheme="majorBidi"/>
        </w:rPr>
      </w:pPr>
      <w:r w:rsidRPr="006D3065">
        <w:rPr>
          <w:rFonts w:asciiTheme="majorBidi" w:hAnsiTheme="majorBidi"/>
          <w:b/>
          <w:bCs/>
        </w:rPr>
        <w:t>Analytical Framework</w:t>
      </w:r>
    </w:p>
    <w:p w14:paraId="12157B88" w14:textId="77777777" w:rsidR="006D3065" w:rsidRPr="006D3065" w:rsidRDefault="006D3065" w:rsidP="006D3065">
      <w:pPr>
        <w:rPr>
          <w:rFonts w:asciiTheme="majorBidi" w:hAnsiTheme="majorBidi"/>
        </w:rPr>
      </w:pPr>
      <w:r w:rsidRPr="006D3065">
        <w:rPr>
          <w:rFonts w:asciiTheme="majorBidi" w:hAnsiTheme="majorBidi"/>
        </w:rPr>
        <w:t>This section explains the analytical tools used.</w:t>
      </w:r>
    </w:p>
    <w:p w14:paraId="5D30CD3F" w14:textId="77777777" w:rsidR="006D3065" w:rsidRPr="006D3065" w:rsidRDefault="006D3065" w:rsidP="006D3065">
      <w:pPr>
        <w:rPr>
          <w:rFonts w:asciiTheme="majorBidi" w:hAnsiTheme="majorBidi"/>
        </w:rPr>
      </w:pPr>
      <w:r w:rsidRPr="006D3065">
        <w:rPr>
          <w:rFonts w:asciiTheme="majorBidi" w:hAnsiTheme="majorBidi"/>
        </w:rPr>
        <w:t>Subsections should include:</w:t>
      </w:r>
    </w:p>
    <w:p w14:paraId="343ED69C" w14:textId="77777777" w:rsidR="006D3065" w:rsidRPr="006D3065" w:rsidRDefault="006D3065" w:rsidP="006D3065">
      <w:pPr>
        <w:rPr>
          <w:rFonts w:asciiTheme="majorBidi" w:hAnsiTheme="majorBidi"/>
        </w:rPr>
      </w:pPr>
      <w:r w:rsidRPr="006D3065">
        <w:rPr>
          <w:rFonts w:asciiTheme="majorBidi" w:hAnsiTheme="majorBidi"/>
        </w:rPr>
        <w:t xml:space="preserve">• </w:t>
      </w:r>
      <w:r w:rsidRPr="006D3065">
        <w:rPr>
          <w:rFonts w:asciiTheme="majorBidi" w:hAnsiTheme="majorBidi"/>
          <w:b/>
          <w:bCs/>
        </w:rPr>
        <w:t>Frame analysis</w:t>
      </w:r>
      <w:r w:rsidRPr="006D3065">
        <w:rPr>
          <w:rFonts w:asciiTheme="majorBidi" w:hAnsiTheme="majorBidi"/>
        </w:rPr>
        <w:t xml:space="preserve"> – identification of diagnostic, prognostic, and motivational frames, along with processes such as frame expansion and contraction.</w:t>
      </w:r>
      <w:r w:rsidRPr="006D3065">
        <w:rPr>
          <w:rFonts w:asciiTheme="majorBidi" w:hAnsiTheme="majorBidi"/>
        </w:rPr>
        <w:br/>
        <w:t xml:space="preserve">• </w:t>
      </w:r>
      <w:r w:rsidRPr="006D3065">
        <w:rPr>
          <w:rFonts w:asciiTheme="majorBidi" w:hAnsiTheme="majorBidi"/>
          <w:b/>
          <w:bCs/>
        </w:rPr>
        <w:t>Rhetorical criticism</w:t>
      </w:r>
      <w:r w:rsidRPr="006D3065">
        <w:rPr>
          <w:rFonts w:asciiTheme="majorBidi" w:hAnsiTheme="majorBidi"/>
        </w:rPr>
        <w:t xml:space="preserve"> – examination of narrative form, symbolic language, authority claims, and performance.</w:t>
      </w:r>
      <w:r w:rsidRPr="006D3065">
        <w:rPr>
          <w:rFonts w:asciiTheme="majorBidi" w:hAnsiTheme="majorBidi"/>
        </w:rPr>
        <w:br/>
        <w:t xml:space="preserve">• </w:t>
      </w:r>
      <w:r w:rsidRPr="006D3065">
        <w:rPr>
          <w:rFonts w:asciiTheme="majorBidi" w:hAnsiTheme="majorBidi"/>
          <w:b/>
          <w:bCs/>
        </w:rPr>
        <w:t>Contextual interpretation</w:t>
      </w:r>
      <w:r w:rsidRPr="006D3065">
        <w:rPr>
          <w:rFonts w:asciiTheme="majorBidi" w:hAnsiTheme="majorBidi"/>
        </w:rPr>
        <w:t xml:space="preserve"> – situating rhetorical shifts within organisational and structural conditions.</w:t>
      </w:r>
    </w:p>
    <w:p w14:paraId="69BBE7A6" w14:textId="77777777" w:rsidR="006D3065" w:rsidRPr="006D3065" w:rsidRDefault="006D3065" w:rsidP="006D3065">
      <w:pPr>
        <w:numPr>
          <w:ilvl w:val="0"/>
          <w:numId w:val="20"/>
        </w:numPr>
        <w:rPr>
          <w:rFonts w:asciiTheme="majorBidi" w:hAnsiTheme="majorBidi"/>
        </w:rPr>
      </w:pPr>
      <w:r w:rsidRPr="006D3065">
        <w:rPr>
          <w:rFonts w:asciiTheme="majorBidi" w:hAnsiTheme="majorBidi"/>
          <w:b/>
          <w:bCs/>
        </w:rPr>
        <w:t>Analytical Procedure</w:t>
      </w:r>
    </w:p>
    <w:p w14:paraId="68B2C85C" w14:textId="77777777" w:rsidR="006D3065" w:rsidRPr="006D3065" w:rsidRDefault="006D3065" w:rsidP="006D3065">
      <w:pPr>
        <w:rPr>
          <w:rFonts w:asciiTheme="majorBidi" w:hAnsiTheme="majorBidi"/>
        </w:rPr>
      </w:pPr>
      <w:r w:rsidRPr="006D3065">
        <w:rPr>
          <w:rFonts w:asciiTheme="majorBidi" w:hAnsiTheme="majorBidi"/>
        </w:rPr>
        <w:t>This section explains the step-by-step process used in the study.</w:t>
      </w:r>
    </w:p>
    <w:p w14:paraId="2DBD5155" w14:textId="77777777" w:rsidR="006D3065" w:rsidRPr="006D3065" w:rsidRDefault="006D3065" w:rsidP="006D3065">
      <w:pPr>
        <w:rPr>
          <w:rFonts w:asciiTheme="majorBidi" w:hAnsiTheme="majorBidi"/>
        </w:rPr>
      </w:pPr>
      <w:r w:rsidRPr="006D3065">
        <w:rPr>
          <w:rFonts w:asciiTheme="majorBidi" w:hAnsiTheme="majorBidi"/>
        </w:rPr>
        <w:t>It should describe:</w:t>
      </w:r>
    </w:p>
    <w:p w14:paraId="52E5F089" w14:textId="77777777" w:rsidR="006D3065" w:rsidRPr="006D3065" w:rsidRDefault="006D3065" w:rsidP="006D3065">
      <w:pPr>
        <w:rPr>
          <w:rFonts w:asciiTheme="majorBidi" w:hAnsiTheme="majorBidi"/>
        </w:rPr>
      </w:pPr>
      <w:r w:rsidRPr="006D3065">
        <w:rPr>
          <w:rFonts w:asciiTheme="majorBidi" w:hAnsiTheme="majorBidi"/>
        </w:rPr>
        <w:t>• coding of frames across texts</w:t>
      </w:r>
      <w:r w:rsidRPr="006D3065">
        <w:rPr>
          <w:rFonts w:asciiTheme="majorBidi" w:hAnsiTheme="majorBidi"/>
        </w:rPr>
        <w:br/>
        <w:t>• rhetorical annotation of leadership discourse</w:t>
      </w:r>
      <w:r w:rsidRPr="006D3065">
        <w:rPr>
          <w:rFonts w:asciiTheme="majorBidi" w:hAnsiTheme="majorBidi"/>
        </w:rPr>
        <w:br/>
        <w:t>• temporal alignment of frames with organisational events</w:t>
      </w:r>
      <w:r w:rsidRPr="006D3065">
        <w:rPr>
          <w:rFonts w:asciiTheme="majorBidi" w:hAnsiTheme="majorBidi"/>
        </w:rPr>
        <w:br/>
        <w:t>• process tracing to evaluate mechanism activation</w:t>
      </w:r>
      <w:r w:rsidRPr="006D3065">
        <w:rPr>
          <w:rFonts w:asciiTheme="majorBidi" w:hAnsiTheme="majorBidi"/>
        </w:rPr>
        <w:br/>
        <w:t>• retroductive reasoning to infer causal mechanisms.</w:t>
      </w:r>
    </w:p>
    <w:p w14:paraId="5A499C9F" w14:textId="77777777" w:rsidR="006D3065" w:rsidRPr="006D3065" w:rsidRDefault="006D3065" w:rsidP="006D3065">
      <w:pPr>
        <w:numPr>
          <w:ilvl w:val="0"/>
          <w:numId w:val="21"/>
        </w:numPr>
        <w:rPr>
          <w:rFonts w:asciiTheme="majorBidi" w:hAnsiTheme="majorBidi"/>
        </w:rPr>
      </w:pPr>
      <w:r w:rsidRPr="006D3065">
        <w:rPr>
          <w:rFonts w:asciiTheme="majorBidi" w:hAnsiTheme="majorBidi"/>
          <w:b/>
          <w:bCs/>
        </w:rPr>
        <w:t>Triangulation and Causal Inference</w:t>
      </w:r>
    </w:p>
    <w:p w14:paraId="550A6C55" w14:textId="77777777" w:rsidR="006D3065" w:rsidRPr="006D3065" w:rsidRDefault="006D3065" w:rsidP="006D3065">
      <w:pPr>
        <w:rPr>
          <w:rFonts w:asciiTheme="majorBidi" w:hAnsiTheme="majorBidi"/>
        </w:rPr>
      </w:pPr>
      <w:r w:rsidRPr="006D3065">
        <w:rPr>
          <w:rFonts w:asciiTheme="majorBidi" w:hAnsiTheme="majorBidi"/>
        </w:rPr>
        <w:t>This section explains how evidence from different domains is combined to test explanations. It should clarify how textual analysis, organisational indicators, mobilisation patterns, and reception evidence are compared to assess causal adequacy.</w:t>
      </w:r>
    </w:p>
    <w:p w14:paraId="0BEADA4A" w14:textId="77777777" w:rsidR="006D3065" w:rsidRPr="006D3065" w:rsidRDefault="006D3065" w:rsidP="006D3065">
      <w:pPr>
        <w:numPr>
          <w:ilvl w:val="0"/>
          <w:numId w:val="22"/>
        </w:numPr>
        <w:rPr>
          <w:rFonts w:asciiTheme="majorBidi" w:hAnsiTheme="majorBidi"/>
        </w:rPr>
      </w:pPr>
      <w:r w:rsidRPr="006D3065">
        <w:rPr>
          <w:rFonts w:asciiTheme="majorBidi" w:hAnsiTheme="majorBidi"/>
          <w:b/>
          <w:bCs/>
        </w:rPr>
        <w:t>Ethical Considerations</w:t>
      </w:r>
    </w:p>
    <w:p w14:paraId="4BC50174" w14:textId="77777777" w:rsidR="006D3065" w:rsidRPr="006D3065" w:rsidRDefault="006D3065" w:rsidP="006D3065">
      <w:pPr>
        <w:rPr>
          <w:rFonts w:asciiTheme="majorBidi" w:hAnsiTheme="majorBidi"/>
        </w:rPr>
      </w:pPr>
      <w:r w:rsidRPr="006D3065">
        <w:rPr>
          <w:rFonts w:asciiTheme="majorBidi" w:hAnsiTheme="majorBidi"/>
        </w:rPr>
        <w:t>This section covers interview ethics, consent procedures, confidentiality, and positional considerations when researching a historically marginalised movement.</w:t>
      </w:r>
    </w:p>
    <w:p w14:paraId="5FD59E4C" w14:textId="77777777" w:rsidR="006D3065" w:rsidRPr="006D3065" w:rsidRDefault="006D3065" w:rsidP="006D3065">
      <w:pPr>
        <w:numPr>
          <w:ilvl w:val="0"/>
          <w:numId w:val="23"/>
        </w:numPr>
        <w:rPr>
          <w:rFonts w:asciiTheme="majorBidi" w:hAnsiTheme="majorBidi"/>
        </w:rPr>
      </w:pPr>
      <w:r w:rsidRPr="006D3065">
        <w:rPr>
          <w:rFonts w:asciiTheme="majorBidi" w:hAnsiTheme="majorBidi"/>
          <w:b/>
          <w:bCs/>
        </w:rPr>
        <w:t>Researcher Reflexivity and Methodological Limitations</w:t>
      </w:r>
    </w:p>
    <w:p w14:paraId="2126BDAD" w14:textId="77777777" w:rsidR="006D3065" w:rsidRPr="006D3065" w:rsidRDefault="006D3065" w:rsidP="006D3065">
      <w:pPr>
        <w:rPr>
          <w:rFonts w:asciiTheme="majorBidi" w:hAnsiTheme="majorBidi"/>
        </w:rPr>
      </w:pPr>
      <w:r w:rsidRPr="006D3065">
        <w:rPr>
          <w:rFonts w:asciiTheme="majorBidi" w:hAnsiTheme="majorBidi"/>
        </w:rPr>
        <w:t>This section replaces “Reflections and Adaptations.” It addresses interpretive limits, positionality, archival gaps, and potential biases in interview data or movement narratives.</w:t>
      </w:r>
    </w:p>
    <w:p w14:paraId="6CEDA7C9" w14:textId="77777777" w:rsidR="006D3065" w:rsidRDefault="006D3065">
      <w:pPr>
        <w:rPr>
          <w:rFonts w:asciiTheme="majorBidi" w:eastAsiaTheme="majorEastAsia" w:hAnsiTheme="majorBidi" w:cstheme="majorBidi"/>
          <w:sz w:val="40"/>
          <w:szCs w:val="40"/>
        </w:rPr>
      </w:pPr>
      <w:r>
        <w:rPr>
          <w:rFonts w:asciiTheme="majorBidi" w:hAnsiTheme="majorBidi"/>
        </w:rPr>
        <w:br w:type="page"/>
      </w:r>
    </w:p>
    <w:p w14:paraId="30A4C13F" w14:textId="33FF8713" w:rsidR="00482445" w:rsidRPr="001B4D0D" w:rsidRDefault="00482445" w:rsidP="00482445">
      <w:pPr>
        <w:pStyle w:val="Heading1"/>
        <w:rPr>
          <w:rFonts w:asciiTheme="majorBidi" w:hAnsiTheme="majorBidi"/>
        </w:rPr>
      </w:pPr>
      <w:r w:rsidRPr="001B4D0D">
        <w:rPr>
          <w:rFonts w:asciiTheme="majorBidi" w:hAnsiTheme="majorBidi"/>
        </w:rPr>
        <w:lastRenderedPageBreak/>
        <w:t>Methodology</w:t>
      </w:r>
      <w:r w:rsidR="00553EA9" w:rsidRPr="001B4D0D">
        <w:rPr>
          <w:rFonts w:asciiTheme="majorBidi" w:hAnsiTheme="majorBidi"/>
        </w:rPr>
        <w:t xml:space="preserve"> (</w:t>
      </w:r>
      <w:r w:rsidR="00327B9E" w:rsidRPr="001B4D0D">
        <w:rPr>
          <w:rFonts w:asciiTheme="majorBidi" w:hAnsiTheme="majorBidi"/>
        </w:rPr>
        <w:t>Pre-Thesis-Completion)</w:t>
      </w:r>
    </w:p>
    <w:p w14:paraId="36D8F171" w14:textId="48BB55AE" w:rsidR="00FC0011" w:rsidRDefault="00FC0011" w:rsidP="002F245C">
      <w:pPr>
        <w:pStyle w:val="Heading2"/>
        <w:rPr>
          <w:rFonts w:asciiTheme="majorBidi" w:hAnsiTheme="majorBidi"/>
          <w:color w:val="auto"/>
        </w:rPr>
      </w:pPr>
      <w:commentRangeStart w:id="5"/>
      <w:r>
        <w:rPr>
          <w:rFonts w:asciiTheme="majorBidi" w:hAnsiTheme="majorBidi"/>
          <w:color w:val="auto"/>
        </w:rPr>
        <w:t>Methodological Orientation</w:t>
      </w:r>
      <w:commentRangeEnd w:id="5"/>
      <w:r w:rsidR="00A85309">
        <w:rPr>
          <w:rStyle w:val="CommentReference"/>
          <w:rFonts w:asciiTheme="majorBidi" w:hAnsiTheme="majorBidi"/>
          <w:color w:val="auto"/>
          <w:sz w:val="32"/>
          <w:szCs w:val="32"/>
        </w:rPr>
        <w:commentReference w:id="5"/>
      </w:r>
    </w:p>
    <w:p w14:paraId="26478C04" w14:textId="3042F1AB" w:rsidR="001C515F" w:rsidRPr="001C515F" w:rsidRDefault="001C515F" w:rsidP="009E0643">
      <w:pPr>
        <w:spacing w:line="360" w:lineRule="auto"/>
        <w:jc w:val="both"/>
        <w:rPr>
          <w:rFonts w:asciiTheme="majorBidi" w:hAnsiTheme="majorBidi"/>
          <w:color w:val="C00000"/>
        </w:rPr>
      </w:pPr>
      <w:r w:rsidRPr="001C515F">
        <w:rPr>
          <w:rFonts w:asciiTheme="majorBidi" w:hAnsiTheme="majorBidi"/>
          <w:color w:val="C00000"/>
        </w:rPr>
        <w:t>This study adopts Perspectival Critical Realism (PCR) as its guiding philosophical and explanatory framework. PCR is particularly suited to this research because it retains the stratified ontology associated with critical realism while remaining attentive to knowledge produced from historically marginalised perspectives. It distinguishes between the empirical domain of experiences and observable data, the actual domain of events and activated causal powers, and the real domain of underlying generative mechanisms. This structure allows the analysis to remain</w:t>
      </w:r>
      <w:r w:rsidR="007F7EE6" w:rsidRPr="009E0643">
        <w:rPr>
          <w:rFonts w:asciiTheme="majorBidi" w:hAnsiTheme="majorBidi"/>
          <w:color w:val="C00000"/>
        </w:rPr>
        <w:t xml:space="preserve"> </w:t>
      </w:r>
      <w:r w:rsidRPr="001C515F">
        <w:rPr>
          <w:rFonts w:asciiTheme="majorBidi" w:hAnsiTheme="majorBidi"/>
          <w:color w:val="C00000"/>
        </w:rPr>
        <w:t xml:space="preserve">attentive to the interpretive frameworks produced within the </w:t>
      </w:r>
      <w:r w:rsidR="007F7EE6" w:rsidRPr="009E0643">
        <w:rPr>
          <w:rFonts w:asciiTheme="majorBidi" w:hAnsiTheme="majorBidi"/>
          <w:color w:val="C00000"/>
        </w:rPr>
        <w:t xml:space="preserve">NOI </w:t>
      </w:r>
      <w:r w:rsidRPr="001C515F">
        <w:rPr>
          <w:rFonts w:asciiTheme="majorBidi" w:hAnsiTheme="majorBidi"/>
          <w:color w:val="C00000"/>
        </w:rPr>
        <w:t>itself.</w:t>
      </w:r>
    </w:p>
    <w:p w14:paraId="21D33345" w14:textId="0F061A4D" w:rsidR="001C515F" w:rsidRPr="001C515F" w:rsidRDefault="001C515F" w:rsidP="009E0643">
      <w:pPr>
        <w:spacing w:line="360" w:lineRule="auto"/>
        <w:jc w:val="both"/>
        <w:rPr>
          <w:rFonts w:asciiTheme="majorBidi" w:hAnsiTheme="majorBidi"/>
          <w:color w:val="C00000"/>
        </w:rPr>
      </w:pPr>
      <w:r w:rsidRPr="001C515F">
        <w:rPr>
          <w:rFonts w:asciiTheme="majorBidi" w:hAnsiTheme="majorBidi"/>
          <w:color w:val="C00000"/>
        </w:rPr>
        <w:t xml:space="preserve">The research design is guided by several analytical procedures that enable movement between empirical observation and causal explanation. The first concerns the identification of generative mechanisms. </w:t>
      </w:r>
      <w:r w:rsidR="0046054C" w:rsidRPr="009E0643">
        <w:rPr>
          <w:rFonts w:asciiTheme="majorBidi" w:hAnsiTheme="majorBidi"/>
          <w:color w:val="C00000"/>
        </w:rPr>
        <w:t>T</w:t>
      </w:r>
      <w:r w:rsidRPr="001C515F">
        <w:rPr>
          <w:rFonts w:asciiTheme="majorBidi" w:hAnsiTheme="majorBidi"/>
          <w:color w:val="C00000"/>
        </w:rPr>
        <w:t>he study seeks to identify the deeper causal forces that structure leadership change and frame development</w:t>
      </w:r>
      <w:r w:rsidR="0046054C" w:rsidRPr="009E0643">
        <w:rPr>
          <w:rFonts w:asciiTheme="majorBidi" w:hAnsiTheme="majorBidi"/>
          <w:color w:val="C00000"/>
        </w:rPr>
        <w:t xml:space="preserve">, beyond </w:t>
      </w:r>
      <w:r w:rsidR="0065234A" w:rsidRPr="009E0643">
        <w:rPr>
          <w:rFonts w:asciiTheme="majorBidi" w:hAnsiTheme="majorBidi"/>
          <w:color w:val="C00000"/>
        </w:rPr>
        <w:t>limiting analysis to patterns observable at the empirical level</w:t>
      </w:r>
      <w:r w:rsidRPr="001C515F">
        <w:rPr>
          <w:rFonts w:asciiTheme="majorBidi" w:hAnsiTheme="majorBidi"/>
          <w:color w:val="C00000"/>
        </w:rPr>
        <w:t>. Mechanisms and the mobilisation of charismatic authority are therefore examined as potential drivers that shape how leadership transitions influence collective action framing and organisational mobilisation.</w:t>
      </w:r>
    </w:p>
    <w:p w14:paraId="3E62B249" w14:textId="36336278" w:rsidR="001C515F" w:rsidRPr="001C515F" w:rsidRDefault="00CD44B4" w:rsidP="009E0643">
      <w:pPr>
        <w:spacing w:line="360" w:lineRule="auto"/>
        <w:jc w:val="both"/>
        <w:rPr>
          <w:rFonts w:asciiTheme="majorBidi" w:hAnsiTheme="majorBidi"/>
          <w:color w:val="C00000"/>
        </w:rPr>
      </w:pPr>
      <w:r w:rsidRPr="009E0643">
        <w:rPr>
          <w:rFonts w:asciiTheme="majorBidi" w:hAnsiTheme="majorBidi"/>
          <w:color w:val="C00000"/>
        </w:rPr>
        <w:t>The process of r</w:t>
      </w:r>
      <w:r w:rsidR="001C515F" w:rsidRPr="001C515F">
        <w:rPr>
          <w:rFonts w:asciiTheme="majorBidi" w:hAnsiTheme="majorBidi"/>
          <w:color w:val="C00000"/>
        </w:rPr>
        <w:t>etroduction</w:t>
      </w:r>
      <w:r w:rsidRPr="009E0643">
        <w:rPr>
          <w:rFonts w:asciiTheme="majorBidi" w:hAnsiTheme="majorBidi"/>
          <w:color w:val="C00000"/>
        </w:rPr>
        <w:t xml:space="preserve"> follows</w:t>
      </w:r>
      <w:r w:rsidR="001C515F" w:rsidRPr="001C515F">
        <w:rPr>
          <w:rFonts w:asciiTheme="majorBidi" w:hAnsiTheme="majorBidi"/>
          <w:color w:val="C00000"/>
        </w:rPr>
        <w:t>, which functions as the principal mode of inference. Through retroductive reasoning the study works from observable traces within the empirical record in order to infer the underlying mechanisms that must exist for these developments to occur. Retroduction enables the research to link discursive and organisational developments to deeper causal structures that operate beyond the immediate level of observation.</w:t>
      </w:r>
    </w:p>
    <w:p w14:paraId="6B5E7AA6" w14:textId="7BAB5D16" w:rsidR="001C515F" w:rsidRPr="001C515F" w:rsidRDefault="008572A7" w:rsidP="009E0643">
      <w:pPr>
        <w:spacing w:line="360" w:lineRule="auto"/>
        <w:jc w:val="both"/>
        <w:rPr>
          <w:rFonts w:asciiTheme="majorBidi" w:hAnsiTheme="majorBidi"/>
          <w:color w:val="C00000"/>
        </w:rPr>
      </w:pPr>
      <w:r w:rsidRPr="009E0643">
        <w:rPr>
          <w:rFonts w:asciiTheme="majorBidi" w:hAnsiTheme="majorBidi"/>
          <w:color w:val="C00000"/>
        </w:rPr>
        <w:t xml:space="preserve">Such analysis further necessitates </w:t>
      </w:r>
      <w:r w:rsidR="00100089" w:rsidRPr="009E0643">
        <w:rPr>
          <w:rFonts w:asciiTheme="majorBidi" w:hAnsiTheme="majorBidi"/>
          <w:color w:val="C00000"/>
        </w:rPr>
        <w:t xml:space="preserve">the method of </w:t>
      </w:r>
      <w:r w:rsidR="001C515F" w:rsidRPr="001C515F">
        <w:rPr>
          <w:rFonts w:asciiTheme="majorBidi" w:hAnsiTheme="majorBidi"/>
          <w:color w:val="C00000"/>
        </w:rPr>
        <w:t>process tracing. This technique is used to establish causal plausibility by reconstructing the temporal and relational pathways through which leadership interventions generate observable outcomes. By mapping the connections between leadership performance, organisational adaptation, and patterns of mobilisation across time, the study evaluates whether the mechanisms inferred through retroductive analysis are capable of producing the historical developments documented in the empirical record.</w:t>
      </w:r>
    </w:p>
    <w:p w14:paraId="4CF6EC1F" w14:textId="7B9F645B" w:rsidR="006E4C46" w:rsidRPr="001B4D0D" w:rsidRDefault="006E4C46" w:rsidP="00041680">
      <w:pPr>
        <w:rPr>
          <w:rFonts w:asciiTheme="majorBidi" w:hAnsiTheme="majorBidi" w:cstheme="majorBidi"/>
          <w:color w:val="C00000"/>
          <w:sz w:val="22"/>
          <w:szCs w:val="22"/>
        </w:rPr>
      </w:pPr>
    </w:p>
    <w:p w14:paraId="698D37BE" w14:textId="77777777" w:rsidR="00473667" w:rsidRPr="001B4D0D" w:rsidRDefault="00473667" w:rsidP="00041680">
      <w:pPr>
        <w:rPr>
          <w:rFonts w:asciiTheme="majorBidi" w:hAnsiTheme="majorBidi" w:cstheme="majorBidi"/>
          <w:color w:val="C00000"/>
          <w:sz w:val="22"/>
          <w:szCs w:val="22"/>
        </w:rPr>
      </w:pPr>
    </w:p>
    <w:p w14:paraId="7F459735" w14:textId="77777777" w:rsidR="001D6507" w:rsidRPr="001B4D0D" w:rsidRDefault="001D6507" w:rsidP="00041680">
      <w:pPr>
        <w:rPr>
          <w:rFonts w:asciiTheme="majorBidi" w:hAnsiTheme="majorBidi" w:cstheme="majorBidi"/>
          <w:color w:val="C00000"/>
          <w:sz w:val="22"/>
          <w:szCs w:val="22"/>
        </w:rPr>
      </w:pPr>
    </w:p>
    <w:p w14:paraId="58271E03" w14:textId="39208919" w:rsidR="009830B0" w:rsidRPr="001B4D0D" w:rsidRDefault="009830B0" w:rsidP="006150F0">
      <w:pPr>
        <w:rPr>
          <w:rFonts w:asciiTheme="majorBidi" w:hAnsiTheme="majorBidi" w:cstheme="majorBidi"/>
        </w:rPr>
      </w:pPr>
    </w:p>
    <w:p w14:paraId="7E19E703" w14:textId="50BBEF64" w:rsidR="006E4C46" w:rsidRDefault="006E4C46" w:rsidP="006E4C46">
      <w:pPr>
        <w:pStyle w:val="Heading2"/>
        <w:rPr>
          <w:rFonts w:asciiTheme="majorBidi" w:hAnsiTheme="majorBidi"/>
          <w:color w:val="auto"/>
        </w:rPr>
      </w:pPr>
      <w:commentRangeStart w:id="6"/>
      <w:commentRangeStart w:id="7"/>
      <w:commentRangeStart w:id="8"/>
      <w:commentRangeStart w:id="9"/>
      <w:r w:rsidRPr="001B4D0D">
        <w:rPr>
          <w:rFonts w:asciiTheme="majorBidi" w:hAnsiTheme="majorBidi"/>
          <w:color w:val="auto"/>
        </w:rPr>
        <w:lastRenderedPageBreak/>
        <w:t>Research Design</w:t>
      </w:r>
      <w:commentRangeEnd w:id="7"/>
      <w:r w:rsidR="00582CFF">
        <w:rPr>
          <w:rStyle w:val="CommentReference"/>
          <w:rFonts w:asciiTheme="majorBidi" w:hAnsiTheme="majorBidi"/>
          <w:color w:val="auto"/>
          <w:sz w:val="32"/>
          <w:szCs w:val="32"/>
        </w:rPr>
        <w:commentReference w:id="7"/>
      </w:r>
      <w:commentRangeEnd w:id="8"/>
      <w:r w:rsidR="00FF4B0D">
        <w:rPr>
          <w:rStyle w:val="CommentReference"/>
          <w:rFonts w:asciiTheme="majorBidi" w:hAnsiTheme="majorBidi"/>
          <w:color w:val="auto"/>
          <w:sz w:val="32"/>
          <w:szCs w:val="32"/>
        </w:rPr>
        <w:commentReference w:id="8"/>
      </w:r>
      <w:commentRangeEnd w:id="9"/>
      <w:r w:rsidR="00F67BD3">
        <w:rPr>
          <w:rStyle w:val="CommentReference"/>
          <w:rFonts w:asciiTheme="majorBidi" w:hAnsiTheme="majorBidi"/>
          <w:color w:val="auto"/>
          <w:sz w:val="32"/>
          <w:szCs w:val="32"/>
        </w:rPr>
        <w:commentReference w:id="9"/>
      </w:r>
      <w:commentRangeEnd w:id="6"/>
      <w:r w:rsidR="00CB2ED8">
        <w:rPr>
          <w:rStyle w:val="CommentReference"/>
          <w:rFonts w:asciiTheme="majorBidi" w:hAnsiTheme="majorBidi"/>
          <w:color w:val="auto"/>
          <w:sz w:val="32"/>
          <w:szCs w:val="32"/>
        </w:rPr>
        <w:commentReference w:id="6"/>
      </w:r>
    </w:p>
    <w:p w14:paraId="71FA1145" w14:textId="77777777" w:rsidR="003D0409" w:rsidRPr="006D3065" w:rsidRDefault="003D0409" w:rsidP="003D0409">
      <w:pPr>
        <w:rPr>
          <w:rFonts w:asciiTheme="majorBidi" w:hAnsiTheme="majorBidi"/>
        </w:rPr>
      </w:pPr>
      <w:r w:rsidRPr="006D3065">
        <w:rPr>
          <w:rFonts w:asciiTheme="majorBidi" w:hAnsiTheme="majorBidi"/>
        </w:rPr>
        <w:t xml:space="preserve">This section </w:t>
      </w:r>
      <w:commentRangeStart w:id="10"/>
      <w:r w:rsidRPr="006D3065">
        <w:rPr>
          <w:rFonts w:asciiTheme="majorBidi" w:hAnsiTheme="majorBidi"/>
        </w:rPr>
        <w:t xml:space="preserve">explains </w:t>
      </w:r>
      <w:commentRangeEnd w:id="10"/>
      <w:r w:rsidR="00101DCC" w:rsidRPr="006D3065">
        <w:rPr>
          <w:rStyle w:val="CommentReference"/>
          <w:rFonts w:asciiTheme="majorBidi" w:hAnsiTheme="majorBidi"/>
          <w:sz w:val="24"/>
          <w:szCs w:val="24"/>
        </w:rPr>
        <w:commentReference w:id="10"/>
      </w:r>
      <w:r w:rsidRPr="006D3065">
        <w:rPr>
          <w:rFonts w:asciiTheme="majorBidi" w:hAnsiTheme="majorBidi"/>
        </w:rPr>
        <w:t>the overall design of the study as a historically structured case analysis of the Nation of Islam. It introduces the temporal framework used for comparison across leadership periods and clarifies that the project adopts a diachronic approach to framing and mobilisation. The section also introduces the layered analytical structure linking performance, organisation, and mobilisation.</w:t>
      </w:r>
    </w:p>
    <w:p w14:paraId="64F3A47C" w14:textId="77777777" w:rsidR="003D0409" w:rsidRPr="003D0409" w:rsidRDefault="003D0409" w:rsidP="003D0409"/>
    <w:p w14:paraId="3C7673DD" w14:textId="0B6A0A4D" w:rsidR="000026E3" w:rsidRPr="001B4D0D" w:rsidRDefault="000026E3" w:rsidP="00805222">
      <w:pPr>
        <w:rPr>
          <w:rFonts w:asciiTheme="majorBidi" w:hAnsiTheme="majorBidi" w:cstheme="majorBidi"/>
          <w:color w:val="C00000"/>
          <w:sz w:val="22"/>
          <w:szCs w:val="22"/>
        </w:rPr>
      </w:pPr>
      <w:commentRangeStart w:id="11"/>
      <w:r w:rsidRPr="001B4D0D">
        <w:rPr>
          <w:rFonts w:asciiTheme="majorBidi" w:hAnsiTheme="majorBidi" w:cstheme="majorBidi"/>
          <w:color w:val="C00000"/>
          <w:sz w:val="22"/>
          <w:szCs w:val="22"/>
        </w:rPr>
        <w:t xml:space="preserve">The methodology is informed by a critical realist approach; it recognises that leadership discourse is just as much agentic as it is both implicitly and explicitly shaped by structural conditions and audience dynamics. This includes recognition of speech that profoundly functions to affect the same factors that tend to shape it. Such an approach contrasts the notion that discourse can be understood solely as </w:t>
      </w:r>
      <w:r w:rsidR="00A44E4E" w:rsidRPr="001B4D0D">
        <w:rPr>
          <w:rFonts w:asciiTheme="majorBidi" w:hAnsiTheme="majorBidi" w:cstheme="majorBidi"/>
          <w:color w:val="C00000"/>
          <w:sz w:val="22"/>
          <w:szCs w:val="22"/>
        </w:rPr>
        <w:t>a system of language detached from the material conditions in which it is used.</w:t>
      </w:r>
      <w:r w:rsidR="005C398D" w:rsidRPr="001B4D0D">
        <w:rPr>
          <w:rFonts w:asciiTheme="majorBidi" w:hAnsiTheme="majorBidi" w:cstheme="majorBidi"/>
          <w:color w:val="C00000"/>
          <w:sz w:val="22"/>
          <w:szCs w:val="22"/>
        </w:rPr>
        <w:t xml:space="preserve"> </w:t>
      </w:r>
      <w:r w:rsidRPr="001B4D0D">
        <w:rPr>
          <w:rFonts w:asciiTheme="majorBidi" w:hAnsiTheme="majorBidi" w:cstheme="majorBidi"/>
          <w:color w:val="C00000"/>
          <w:sz w:val="22"/>
          <w:szCs w:val="22"/>
        </w:rPr>
        <w:t xml:space="preserve">It also resists reducing rhetoric to a mere reflection of </w:t>
      </w:r>
      <w:r w:rsidR="00D872FD" w:rsidRPr="001B4D0D">
        <w:rPr>
          <w:rFonts w:asciiTheme="majorBidi" w:hAnsiTheme="majorBidi" w:cstheme="majorBidi"/>
          <w:color w:val="C00000"/>
          <w:sz w:val="22"/>
          <w:szCs w:val="22"/>
        </w:rPr>
        <w:t xml:space="preserve">a particular structural system or political opportunity, much of </w:t>
      </w:r>
      <w:r w:rsidR="00805222" w:rsidRPr="001B4D0D">
        <w:rPr>
          <w:rFonts w:asciiTheme="majorBidi" w:hAnsiTheme="majorBidi" w:cstheme="majorBidi"/>
          <w:color w:val="C00000"/>
          <w:sz w:val="22"/>
          <w:szCs w:val="22"/>
        </w:rPr>
        <w:t xml:space="preserve">what is said is understood as purposive action albeit embedded </w:t>
      </w:r>
      <w:r w:rsidRPr="001B4D0D">
        <w:rPr>
          <w:rFonts w:asciiTheme="majorBidi" w:hAnsiTheme="majorBidi" w:cstheme="majorBidi"/>
          <w:color w:val="C00000"/>
          <w:sz w:val="22"/>
          <w:szCs w:val="22"/>
        </w:rPr>
        <w:t>in historically specific conditions that both enable and constrain what can be credibly articulated.</w:t>
      </w:r>
      <w:commentRangeEnd w:id="11"/>
      <w:r w:rsidR="007A37D7" w:rsidRPr="001B4D0D">
        <w:rPr>
          <w:rStyle w:val="CommentReference"/>
          <w:rFonts w:asciiTheme="majorBidi" w:hAnsiTheme="majorBidi" w:cstheme="majorBidi"/>
          <w:color w:val="C00000"/>
          <w:sz w:val="22"/>
          <w:szCs w:val="22"/>
        </w:rPr>
        <w:commentReference w:id="11"/>
      </w:r>
    </w:p>
    <w:p w14:paraId="04AE75FF" w14:textId="77777777" w:rsidR="00145CBC" w:rsidRPr="001B4D0D" w:rsidRDefault="00F82E9D" w:rsidP="00C32FB8">
      <w:pPr>
        <w:rPr>
          <w:rFonts w:asciiTheme="majorBidi" w:hAnsiTheme="majorBidi" w:cstheme="majorBidi"/>
          <w:color w:val="C00000"/>
          <w:sz w:val="22"/>
          <w:szCs w:val="22"/>
        </w:rPr>
      </w:pPr>
      <w:r w:rsidRPr="001B4D0D">
        <w:rPr>
          <w:rFonts w:asciiTheme="majorBidi" w:hAnsiTheme="majorBidi" w:cstheme="majorBidi"/>
          <w:color w:val="C00000"/>
          <w:sz w:val="22"/>
          <w:szCs w:val="22"/>
        </w:rPr>
        <w:t xml:space="preserve">The research design integrates </w:t>
      </w:r>
      <w:r w:rsidR="005D7EFF" w:rsidRPr="001B4D0D">
        <w:rPr>
          <w:rFonts w:asciiTheme="majorBidi" w:hAnsiTheme="majorBidi" w:cstheme="majorBidi"/>
          <w:color w:val="C00000"/>
          <w:sz w:val="22"/>
          <w:szCs w:val="22"/>
        </w:rPr>
        <w:t>two</w:t>
      </w:r>
      <w:r w:rsidRPr="001B4D0D">
        <w:rPr>
          <w:rFonts w:asciiTheme="majorBidi" w:hAnsiTheme="majorBidi" w:cstheme="majorBidi"/>
          <w:color w:val="C00000"/>
          <w:sz w:val="22"/>
          <w:szCs w:val="22"/>
        </w:rPr>
        <w:t xml:space="preserve"> complementary strands of analysis. Frame analysis provides the primary methodological lens, enabling the identification of diagnostic, prognostic, and motivational frames across time</w:t>
      </w:r>
      <w:r w:rsidR="00DD3166" w:rsidRPr="001B4D0D">
        <w:rPr>
          <w:rFonts w:asciiTheme="majorBidi" w:hAnsiTheme="majorBidi" w:cstheme="majorBidi"/>
          <w:color w:val="C00000"/>
          <w:sz w:val="22"/>
          <w:szCs w:val="22"/>
        </w:rPr>
        <w:t xml:space="preserve">, as well as </w:t>
      </w:r>
      <w:r w:rsidR="00A16A3D" w:rsidRPr="001B4D0D">
        <w:rPr>
          <w:rFonts w:asciiTheme="majorBidi" w:hAnsiTheme="majorBidi" w:cstheme="majorBidi"/>
          <w:color w:val="C00000"/>
          <w:sz w:val="22"/>
          <w:szCs w:val="22"/>
        </w:rPr>
        <w:t>nuances in terms of frame expansion and contraction</w:t>
      </w:r>
      <w:r w:rsidR="0082698F" w:rsidRPr="001B4D0D">
        <w:rPr>
          <w:rFonts w:asciiTheme="majorBidi" w:hAnsiTheme="majorBidi" w:cstheme="majorBidi"/>
          <w:color w:val="C00000"/>
          <w:sz w:val="22"/>
          <w:szCs w:val="22"/>
        </w:rPr>
        <w:t xml:space="preserve">, as well as the </w:t>
      </w:r>
      <w:r w:rsidR="00182BA3" w:rsidRPr="001B4D0D">
        <w:rPr>
          <w:rFonts w:asciiTheme="majorBidi" w:hAnsiTheme="majorBidi" w:cstheme="majorBidi"/>
          <w:color w:val="C00000"/>
          <w:sz w:val="22"/>
          <w:szCs w:val="22"/>
        </w:rPr>
        <w:t>conclusive outcome-finding approach of frame resonance</w:t>
      </w:r>
      <w:r w:rsidRPr="001B4D0D">
        <w:rPr>
          <w:rFonts w:asciiTheme="majorBidi" w:hAnsiTheme="majorBidi" w:cstheme="majorBidi"/>
          <w:color w:val="C00000"/>
          <w:sz w:val="22"/>
          <w:szCs w:val="22"/>
        </w:rPr>
        <w:t xml:space="preserve">. </w:t>
      </w:r>
    </w:p>
    <w:p w14:paraId="4CF24860" w14:textId="77777777" w:rsidR="00145CBC" w:rsidRPr="001B4D0D" w:rsidRDefault="00145CBC" w:rsidP="00C32FB8">
      <w:pPr>
        <w:rPr>
          <w:rFonts w:asciiTheme="majorBidi" w:hAnsiTheme="majorBidi" w:cstheme="majorBidi"/>
          <w:color w:val="C00000"/>
          <w:sz w:val="22"/>
          <w:szCs w:val="22"/>
        </w:rPr>
      </w:pPr>
    </w:p>
    <w:p w14:paraId="4B6F0D7D" w14:textId="33F1590E" w:rsidR="00145CBC" w:rsidRPr="001B4D0D" w:rsidRDefault="00182BA3" w:rsidP="00C32FB8">
      <w:pPr>
        <w:rPr>
          <w:rFonts w:asciiTheme="majorBidi" w:hAnsiTheme="majorBidi" w:cstheme="majorBidi"/>
          <w:color w:val="C00000"/>
          <w:sz w:val="22"/>
          <w:szCs w:val="22"/>
        </w:rPr>
      </w:pPr>
      <w:r w:rsidRPr="001B4D0D">
        <w:rPr>
          <w:rFonts w:asciiTheme="majorBidi" w:hAnsiTheme="majorBidi" w:cstheme="majorBidi"/>
          <w:color w:val="C00000"/>
          <w:sz w:val="22"/>
          <w:szCs w:val="22"/>
        </w:rPr>
        <w:t xml:space="preserve">This </w:t>
      </w:r>
      <w:r w:rsidR="00145CBC" w:rsidRPr="001B4D0D">
        <w:rPr>
          <w:rFonts w:asciiTheme="majorBidi" w:hAnsiTheme="majorBidi" w:cstheme="majorBidi"/>
          <w:color w:val="C00000"/>
          <w:sz w:val="22"/>
          <w:szCs w:val="22"/>
        </w:rPr>
        <w:t>method comprises the what? Of the research in its …</w:t>
      </w:r>
    </w:p>
    <w:p w14:paraId="0E106F17" w14:textId="77777777" w:rsidR="00145CBC" w:rsidRPr="001B4D0D" w:rsidRDefault="00145CBC" w:rsidP="00C32FB8">
      <w:pPr>
        <w:rPr>
          <w:rFonts w:asciiTheme="majorBidi" w:hAnsiTheme="majorBidi" w:cstheme="majorBidi"/>
          <w:color w:val="C00000"/>
          <w:sz w:val="22"/>
          <w:szCs w:val="22"/>
        </w:rPr>
      </w:pPr>
    </w:p>
    <w:p w14:paraId="1D1EAC7C" w14:textId="7E6544E1" w:rsidR="005928BE" w:rsidRPr="001B4D0D" w:rsidRDefault="00F82E9D" w:rsidP="00C32FB8">
      <w:pPr>
        <w:rPr>
          <w:rFonts w:asciiTheme="majorBidi" w:hAnsiTheme="majorBidi" w:cstheme="majorBidi"/>
          <w:b/>
          <w:bCs/>
          <w:color w:val="C00000"/>
          <w:sz w:val="22"/>
          <w:szCs w:val="22"/>
        </w:rPr>
      </w:pPr>
      <w:commentRangeStart w:id="12"/>
      <w:r w:rsidRPr="001B4D0D">
        <w:rPr>
          <w:rFonts w:asciiTheme="majorBidi" w:hAnsiTheme="majorBidi" w:cstheme="majorBidi"/>
          <w:b/>
          <w:bCs/>
          <w:color w:val="C00000"/>
          <w:sz w:val="22"/>
          <w:szCs w:val="22"/>
        </w:rPr>
        <w:t>Rhetorical criticism supports this by attending to the symbolic, narrative, and performative dimensions of leadership communication</w:t>
      </w:r>
      <w:commentRangeEnd w:id="12"/>
      <w:r w:rsidR="00C32FB8" w:rsidRPr="001B4D0D">
        <w:rPr>
          <w:rStyle w:val="CommentReference"/>
          <w:rFonts w:asciiTheme="majorBidi" w:hAnsiTheme="majorBidi" w:cstheme="majorBidi"/>
          <w:b/>
          <w:bCs/>
          <w:color w:val="C00000"/>
          <w:sz w:val="22"/>
          <w:szCs w:val="22"/>
        </w:rPr>
        <w:commentReference w:id="12"/>
      </w:r>
      <w:r w:rsidRPr="001B4D0D">
        <w:rPr>
          <w:rFonts w:asciiTheme="majorBidi" w:hAnsiTheme="majorBidi" w:cstheme="majorBidi"/>
          <w:b/>
          <w:bCs/>
          <w:color w:val="C00000"/>
          <w:sz w:val="22"/>
          <w:szCs w:val="22"/>
        </w:rPr>
        <w:t xml:space="preserve">. </w:t>
      </w:r>
    </w:p>
    <w:p w14:paraId="7016DC29" w14:textId="2B982BC2" w:rsidR="005928BE" w:rsidRPr="001B4D0D" w:rsidRDefault="00145CBC" w:rsidP="00C32FB8">
      <w:pPr>
        <w:rPr>
          <w:rFonts w:asciiTheme="majorBidi" w:hAnsiTheme="majorBidi" w:cstheme="majorBidi"/>
          <w:color w:val="C00000"/>
          <w:sz w:val="22"/>
          <w:szCs w:val="22"/>
        </w:rPr>
      </w:pPr>
      <w:r w:rsidRPr="001B4D0D">
        <w:rPr>
          <w:rFonts w:asciiTheme="majorBidi" w:hAnsiTheme="majorBidi" w:cstheme="majorBidi"/>
          <w:color w:val="C00000"/>
          <w:sz w:val="22"/>
          <w:szCs w:val="22"/>
        </w:rPr>
        <w:t>This method investigates the how? Of the research in its….</w:t>
      </w:r>
    </w:p>
    <w:p w14:paraId="7FA27A4C" w14:textId="77777777" w:rsidR="00145CBC" w:rsidRPr="001B4D0D" w:rsidRDefault="00145CBC" w:rsidP="00C32FB8">
      <w:pPr>
        <w:rPr>
          <w:rFonts w:asciiTheme="majorBidi" w:hAnsiTheme="majorBidi" w:cstheme="majorBidi"/>
          <w:b/>
          <w:bCs/>
          <w:color w:val="C00000"/>
          <w:sz w:val="22"/>
          <w:szCs w:val="22"/>
        </w:rPr>
      </w:pPr>
    </w:p>
    <w:p w14:paraId="52CE4AE5" w14:textId="26A7B962" w:rsidR="00506113" w:rsidRPr="001B4D0D" w:rsidRDefault="005928BE" w:rsidP="00C32FB8">
      <w:pPr>
        <w:rPr>
          <w:rFonts w:asciiTheme="majorBidi" w:hAnsiTheme="majorBidi" w:cstheme="majorBidi"/>
          <w:color w:val="C00000"/>
          <w:sz w:val="22"/>
          <w:szCs w:val="22"/>
        </w:rPr>
      </w:pPr>
      <w:r w:rsidRPr="001B4D0D">
        <w:rPr>
          <w:rFonts w:asciiTheme="majorBidi" w:hAnsiTheme="majorBidi" w:cstheme="majorBidi"/>
          <w:b/>
          <w:bCs/>
          <w:color w:val="C00000"/>
          <w:sz w:val="22"/>
          <w:szCs w:val="22"/>
        </w:rPr>
        <w:t xml:space="preserve">Other methods will also be drawn upon where necessary to further </w:t>
      </w:r>
      <w:r w:rsidR="00544A1F" w:rsidRPr="001B4D0D">
        <w:rPr>
          <w:rFonts w:asciiTheme="majorBidi" w:hAnsiTheme="majorBidi" w:cstheme="majorBidi"/>
          <w:b/>
          <w:bCs/>
          <w:color w:val="C00000"/>
          <w:sz w:val="22"/>
          <w:szCs w:val="22"/>
        </w:rPr>
        <w:t xml:space="preserve">unveil </w:t>
      </w:r>
      <w:r w:rsidR="006F6935" w:rsidRPr="001B4D0D">
        <w:rPr>
          <w:rFonts w:asciiTheme="majorBidi" w:hAnsiTheme="majorBidi" w:cstheme="majorBidi"/>
          <w:b/>
          <w:bCs/>
          <w:color w:val="C00000"/>
          <w:sz w:val="22"/>
          <w:szCs w:val="22"/>
        </w:rPr>
        <w:t xml:space="preserve">the depth and complexities of </w:t>
      </w:r>
      <w:r w:rsidR="005B5F13" w:rsidRPr="001B4D0D">
        <w:rPr>
          <w:rFonts w:asciiTheme="majorBidi" w:hAnsiTheme="majorBidi" w:cstheme="majorBidi"/>
          <w:b/>
          <w:bCs/>
          <w:color w:val="C00000"/>
          <w:sz w:val="22"/>
          <w:szCs w:val="22"/>
        </w:rPr>
        <w:t>oral and written texts</w:t>
      </w:r>
      <w:r w:rsidR="006F6935" w:rsidRPr="001B4D0D">
        <w:rPr>
          <w:rFonts w:asciiTheme="majorBidi" w:hAnsiTheme="majorBidi" w:cstheme="majorBidi"/>
          <w:b/>
          <w:bCs/>
          <w:color w:val="C00000"/>
          <w:sz w:val="22"/>
          <w:szCs w:val="22"/>
        </w:rPr>
        <w:t xml:space="preserve">. </w:t>
      </w:r>
      <w:r w:rsidR="00A15E90" w:rsidRPr="001B4D0D">
        <w:rPr>
          <w:rFonts w:asciiTheme="majorBidi" w:hAnsiTheme="majorBidi" w:cstheme="majorBidi"/>
          <w:b/>
          <w:bCs/>
          <w:color w:val="C00000"/>
          <w:sz w:val="22"/>
          <w:szCs w:val="22"/>
        </w:rPr>
        <w:t xml:space="preserve">These include, </w:t>
      </w:r>
      <w:r w:rsidR="00D14118" w:rsidRPr="001B4D0D">
        <w:rPr>
          <w:rFonts w:asciiTheme="majorBidi" w:hAnsiTheme="majorBidi" w:cstheme="majorBidi"/>
          <w:b/>
          <w:bCs/>
          <w:color w:val="C00000"/>
          <w:sz w:val="22"/>
          <w:szCs w:val="22"/>
        </w:rPr>
        <w:t xml:space="preserve">political opportunity structure, discourse opportunity structure, </w:t>
      </w:r>
      <w:r w:rsidR="00A15E90" w:rsidRPr="001B4D0D">
        <w:rPr>
          <w:rFonts w:asciiTheme="majorBidi" w:hAnsiTheme="majorBidi" w:cstheme="majorBidi"/>
          <w:b/>
          <w:bCs/>
          <w:color w:val="C00000"/>
          <w:sz w:val="22"/>
          <w:szCs w:val="22"/>
        </w:rPr>
        <w:t>c</w:t>
      </w:r>
      <w:r w:rsidR="00F82E9D" w:rsidRPr="001B4D0D">
        <w:rPr>
          <w:rFonts w:asciiTheme="majorBidi" w:hAnsiTheme="majorBidi" w:cstheme="majorBidi"/>
          <w:color w:val="C00000"/>
          <w:sz w:val="22"/>
          <w:szCs w:val="22"/>
        </w:rPr>
        <w:t>ritical discourse analysis</w:t>
      </w:r>
      <w:r w:rsidR="00A15E90" w:rsidRPr="001B4D0D">
        <w:rPr>
          <w:rFonts w:asciiTheme="majorBidi" w:hAnsiTheme="majorBidi" w:cstheme="majorBidi"/>
          <w:color w:val="C00000"/>
          <w:sz w:val="22"/>
          <w:szCs w:val="22"/>
        </w:rPr>
        <w:t xml:space="preserve"> and </w:t>
      </w:r>
      <w:r w:rsidR="00EE2C53" w:rsidRPr="001B4D0D">
        <w:rPr>
          <w:rFonts w:asciiTheme="majorBidi" w:hAnsiTheme="majorBidi" w:cstheme="majorBidi"/>
          <w:color w:val="C00000"/>
          <w:sz w:val="22"/>
          <w:szCs w:val="22"/>
        </w:rPr>
        <w:t>discourse historical analysis</w:t>
      </w:r>
      <w:r w:rsidR="00F82E9D" w:rsidRPr="001B4D0D">
        <w:rPr>
          <w:rFonts w:asciiTheme="majorBidi" w:hAnsiTheme="majorBidi" w:cstheme="majorBidi"/>
          <w:color w:val="C00000"/>
          <w:sz w:val="22"/>
          <w:szCs w:val="22"/>
        </w:rPr>
        <w:t xml:space="preserve">, </w:t>
      </w:r>
      <w:r w:rsidR="00506113" w:rsidRPr="001B4D0D">
        <w:rPr>
          <w:rFonts w:asciiTheme="majorBidi" w:hAnsiTheme="majorBidi" w:cstheme="majorBidi"/>
          <w:color w:val="C00000"/>
          <w:sz w:val="22"/>
          <w:szCs w:val="22"/>
        </w:rPr>
        <w:t xml:space="preserve">all </w:t>
      </w:r>
      <w:r w:rsidR="00F82E9D" w:rsidRPr="001B4D0D">
        <w:rPr>
          <w:rFonts w:asciiTheme="majorBidi" w:hAnsiTheme="majorBidi" w:cstheme="majorBidi"/>
          <w:color w:val="C00000"/>
          <w:sz w:val="22"/>
          <w:szCs w:val="22"/>
        </w:rPr>
        <w:t>where appropriate</w:t>
      </w:r>
      <w:r w:rsidR="00506113" w:rsidRPr="001B4D0D">
        <w:rPr>
          <w:rFonts w:asciiTheme="majorBidi" w:hAnsiTheme="majorBidi" w:cstheme="majorBidi"/>
          <w:color w:val="C00000"/>
          <w:sz w:val="22"/>
          <w:szCs w:val="22"/>
        </w:rPr>
        <w:t xml:space="preserve"> and where </w:t>
      </w:r>
      <w:r w:rsidR="00A86355" w:rsidRPr="001B4D0D">
        <w:rPr>
          <w:rFonts w:asciiTheme="majorBidi" w:hAnsiTheme="majorBidi" w:cstheme="majorBidi"/>
          <w:color w:val="C00000"/>
          <w:sz w:val="22"/>
          <w:szCs w:val="22"/>
        </w:rPr>
        <w:t xml:space="preserve">further contextualisation and meaning can be effectively derived </w:t>
      </w:r>
      <w:r w:rsidR="00BC3E46" w:rsidRPr="001B4D0D">
        <w:rPr>
          <w:rFonts w:asciiTheme="majorBidi" w:hAnsiTheme="majorBidi" w:cstheme="majorBidi"/>
          <w:color w:val="C00000"/>
          <w:sz w:val="22"/>
          <w:szCs w:val="22"/>
        </w:rPr>
        <w:t xml:space="preserve">to </w:t>
      </w:r>
      <w:r w:rsidR="00A86355" w:rsidRPr="001B4D0D">
        <w:rPr>
          <w:rFonts w:asciiTheme="majorBidi" w:hAnsiTheme="majorBidi" w:cstheme="majorBidi"/>
          <w:color w:val="C00000"/>
          <w:sz w:val="22"/>
          <w:szCs w:val="22"/>
        </w:rPr>
        <w:t>contribute to the study,</w:t>
      </w:r>
    </w:p>
    <w:p w14:paraId="733D2D97" w14:textId="4FCCD923" w:rsidR="00F82E9D" w:rsidRPr="001B4D0D" w:rsidRDefault="00F82E9D" w:rsidP="00C32FB8">
      <w:pPr>
        <w:rPr>
          <w:rFonts w:asciiTheme="majorBidi" w:hAnsiTheme="majorBidi" w:cstheme="majorBidi"/>
          <w:color w:val="C00000"/>
          <w:sz w:val="22"/>
          <w:szCs w:val="22"/>
        </w:rPr>
      </w:pPr>
      <w:r w:rsidRPr="001B4D0D">
        <w:rPr>
          <w:rFonts w:asciiTheme="majorBidi" w:hAnsiTheme="majorBidi" w:cstheme="majorBidi"/>
          <w:color w:val="C00000"/>
          <w:sz w:val="22"/>
          <w:szCs w:val="22"/>
        </w:rPr>
        <w:t xml:space="preserve">These approaches are </w:t>
      </w:r>
      <w:r w:rsidR="00D53837" w:rsidRPr="001B4D0D">
        <w:rPr>
          <w:rFonts w:asciiTheme="majorBidi" w:hAnsiTheme="majorBidi" w:cstheme="majorBidi"/>
          <w:color w:val="C00000"/>
          <w:sz w:val="22"/>
          <w:szCs w:val="22"/>
        </w:rPr>
        <w:t xml:space="preserve">not </w:t>
      </w:r>
      <w:r w:rsidRPr="001B4D0D">
        <w:rPr>
          <w:rFonts w:asciiTheme="majorBidi" w:hAnsiTheme="majorBidi" w:cstheme="majorBidi"/>
          <w:color w:val="C00000"/>
          <w:sz w:val="22"/>
          <w:szCs w:val="22"/>
        </w:rPr>
        <w:t xml:space="preserve">employed </w:t>
      </w:r>
      <w:r w:rsidR="00D53837" w:rsidRPr="001B4D0D">
        <w:rPr>
          <w:rFonts w:asciiTheme="majorBidi" w:hAnsiTheme="majorBidi" w:cstheme="majorBidi"/>
          <w:color w:val="C00000"/>
          <w:sz w:val="22"/>
          <w:szCs w:val="22"/>
        </w:rPr>
        <w:t>in isolation</w:t>
      </w:r>
      <w:r w:rsidRPr="001B4D0D">
        <w:rPr>
          <w:rFonts w:asciiTheme="majorBidi" w:hAnsiTheme="majorBidi" w:cstheme="majorBidi"/>
          <w:color w:val="C00000"/>
          <w:sz w:val="22"/>
          <w:szCs w:val="22"/>
        </w:rPr>
        <w:t xml:space="preserve">, but as interrelated interpretive tools </w:t>
      </w:r>
      <w:r w:rsidR="00142231" w:rsidRPr="001B4D0D">
        <w:rPr>
          <w:rFonts w:asciiTheme="majorBidi" w:hAnsiTheme="majorBidi" w:cstheme="majorBidi"/>
          <w:color w:val="C00000"/>
          <w:sz w:val="22"/>
          <w:szCs w:val="22"/>
        </w:rPr>
        <w:t xml:space="preserve">in order to encompass the breadth of this study’s </w:t>
      </w:r>
      <w:r w:rsidR="003E3AE9" w:rsidRPr="001B4D0D">
        <w:rPr>
          <w:rFonts w:asciiTheme="majorBidi" w:hAnsiTheme="majorBidi" w:cstheme="majorBidi"/>
          <w:color w:val="C00000"/>
          <w:sz w:val="22"/>
          <w:szCs w:val="22"/>
        </w:rPr>
        <w:t xml:space="preserve">focus on matters of interpretation, expression, legitimacy, and </w:t>
      </w:r>
      <w:r w:rsidRPr="001B4D0D">
        <w:rPr>
          <w:rFonts w:asciiTheme="majorBidi" w:hAnsiTheme="majorBidi" w:cstheme="majorBidi"/>
          <w:color w:val="C00000"/>
          <w:sz w:val="22"/>
          <w:szCs w:val="22"/>
        </w:rPr>
        <w:t>resonance.</w:t>
      </w:r>
    </w:p>
    <w:p w14:paraId="698A33D1" w14:textId="77777777" w:rsidR="007A128B" w:rsidRPr="001B4D0D" w:rsidRDefault="00F82E9D" w:rsidP="007A128B">
      <w:pPr>
        <w:rPr>
          <w:rFonts w:asciiTheme="majorBidi" w:hAnsiTheme="majorBidi" w:cstheme="majorBidi"/>
          <w:color w:val="C00000"/>
          <w:sz w:val="22"/>
          <w:szCs w:val="22"/>
        </w:rPr>
      </w:pPr>
      <w:r w:rsidRPr="001B4D0D">
        <w:rPr>
          <w:rFonts w:asciiTheme="majorBidi" w:hAnsiTheme="majorBidi" w:cstheme="majorBidi"/>
          <w:color w:val="C00000"/>
          <w:sz w:val="22"/>
          <w:szCs w:val="22"/>
        </w:rPr>
        <w:t xml:space="preserve">The project is principally historical in orientation, </w:t>
      </w:r>
      <w:r w:rsidR="00B47DE8" w:rsidRPr="001B4D0D">
        <w:rPr>
          <w:rFonts w:asciiTheme="majorBidi" w:hAnsiTheme="majorBidi" w:cstheme="majorBidi"/>
          <w:color w:val="C00000"/>
          <w:sz w:val="22"/>
          <w:szCs w:val="22"/>
        </w:rPr>
        <w:t xml:space="preserve">where </w:t>
      </w:r>
      <w:r w:rsidRPr="001B4D0D">
        <w:rPr>
          <w:rFonts w:asciiTheme="majorBidi" w:hAnsiTheme="majorBidi" w:cstheme="majorBidi"/>
          <w:color w:val="C00000"/>
          <w:sz w:val="22"/>
          <w:szCs w:val="22"/>
        </w:rPr>
        <w:t>frame development</w:t>
      </w:r>
      <w:r w:rsidR="00B47DE8" w:rsidRPr="001B4D0D">
        <w:rPr>
          <w:rFonts w:asciiTheme="majorBidi" w:hAnsiTheme="majorBidi" w:cstheme="majorBidi"/>
          <w:color w:val="C00000"/>
          <w:sz w:val="22"/>
          <w:szCs w:val="22"/>
        </w:rPr>
        <w:t>s are traced</w:t>
      </w:r>
      <w:r w:rsidRPr="001B4D0D">
        <w:rPr>
          <w:rFonts w:asciiTheme="majorBidi" w:hAnsiTheme="majorBidi" w:cstheme="majorBidi"/>
          <w:color w:val="C00000"/>
          <w:sz w:val="22"/>
          <w:szCs w:val="22"/>
        </w:rPr>
        <w:t xml:space="preserve"> across major transitions in leadership. However, it also remains attentive to reception</w:t>
      </w:r>
      <w:r w:rsidR="0018331E" w:rsidRPr="001B4D0D">
        <w:rPr>
          <w:rFonts w:asciiTheme="majorBidi" w:hAnsiTheme="majorBidi" w:cstheme="majorBidi"/>
          <w:color w:val="C00000"/>
          <w:sz w:val="22"/>
          <w:szCs w:val="22"/>
        </w:rPr>
        <w:t xml:space="preserve"> and ho</w:t>
      </w:r>
      <w:r w:rsidRPr="001B4D0D">
        <w:rPr>
          <w:rFonts w:asciiTheme="majorBidi" w:hAnsiTheme="majorBidi" w:cstheme="majorBidi"/>
          <w:color w:val="C00000"/>
          <w:sz w:val="22"/>
          <w:szCs w:val="22"/>
        </w:rPr>
        <w:t xml:space="preserve">w certain </w:t>
      </w:r>
      <w:r w:rsidR="0018331E" w:rsidRPr="001B4D0D">
        <w:rPr>
          <w:rFonts w:asciiTheme="majorBidi" w:hAnsiTheme="majorBidi" w:cstheme="majorBidi"/>
          <w:color w:val="C00000"/>
          <w:sz w:val="22"/>
          <w:szCs w:val="22"/>
        </w:rPr>
        <w:t xml:space="preserve">frames </w:t>
      </w:r>
      <w:r w:rsidRPr="001B4D0D">
        <w:rPr>
          <w:rFonts w:asciiTheme="majorBidi" w:hAnsiTheme="majorBidi" w:cstheme="majorBidi"/>
          <w:color w:val="C00000"/>
          <w:sz w:val="22"/>
          <w:szCs w:val="22"/>
        </w:rPr>
        <w:t xml:space="preserve">may have been reinterpreted retrospectively or reactivated by followers long after their original articulation. The </w:t>
      </w:r>
      <w:r w:rsidR="00655772" w:rsidRPr="001B4D0D">
        <w:rPr>
          <w:rFonts w:asciiTheme="majorBidi" w:hAnsiTheme="majorBidi" w:cstheme="majorBidi"/>
          <w:color w:val="C00000"/>
          <w:sz w:val="22"/>
          <w:szCs w:val="22"/>
        </w:rPr>
        <w:t xml:space="preserve">supplementary </w:t>
      </w:r>
      <w:r w:rsidRPr="001B4D0D">
        <w:rPr>
          <w:rFonts w:asciiTheme="majorBidi" w:hAnsiTheme="majorBidi" w:cstheme="majorBidi"/>
          <w:color w:val="C00000"/>
          <w:sz w:val="22"/>
          <w:szCs w:val="22"/>
        </w:rPr>
        <w:t>incorporation of interviews with current or former members is aimed at gaining insight into these dynamics of reception</w:t>
      </w:r>
      <w:r w:rsidR="00302261" w:rsidRPr="001B4D0D">
        <w:rPr>
          <w:rFonts w:asciiTheme="majorBidi" w:hAnsiTheme="majorBidi" w:cstheme="majorBidi"/>
          <w:color w:val="C00000"/>
          <w:sz w:val="22"/>
          <w:szCs w:val="22"/>
        </w:rPr>
        <w:t>.</w:t>
      </w:r>
    </w:p>
    <w:p w14:paraId="59E0DEB2" w14:textId="4D718115" w:rsidR="002C187F" w:rsidRPr="001B4D0D" w:rsidRDefault="007A128B" w:rsidP="007A128B">
      <w:pPr>
        <w:rPr>
          <w:rFonts w:asciiTheme="majorBidi" w:hAnsiTheme="majorBidi" w:cstheme="majorBidi"/>
          <w:color w:val="C00000"/>
          <w:sz w:val="22"/>
          <w:szCs w:val="22"/>
        </w:rPr>
      </w:pPr>
      <w:r w:rsidRPr="001B4D0D">
        <w:rPr>
          <w:rFonts w:asciiTheme="majorBidi" w:hAnsiTheme="majorBidi" w:cstheme="majorBidi"/>
          <w:color w:val="C00000"/>
          <w:sz w:val="22"/>
          <w:szCs w:val="22"/>
        </w:rPr>
        <w:lastRenderedPageBreak/>
        <w:t xml:space="preserve">As such, the </w:t>
      </w:r>
      <w:r w:rsidR="00F140B8" w:rsidRPr="001B4D0D">
        <w:rPr>
          <w:rFonts w:asciiTheme="majorBidi" w:hAnsiTheme="majorBidi" w:cstheme="majorBidi"/>
          <w:color w:val="C00000"/>
          <w:sz w:val="22"/>
          <w:szCs w:val="22"/>
        </w:rPr>
        <w:t xml:space="preserve">overall method </w:t>
      </w:r>
      <w:r w:rsidR="00C01DF6" w:rsidRPr="001B4D0D">
        <w:rPr>
          <w:rFonts w:asciiTheme="majorBidi" w:hAnsiTheme="majorBidi" w:cstheme="majorBidi"/>
          <w:color w:val="C00000"/>
          <w:sz w:val="22"/>
          <w:szCs w:val="22"/>
        </w:rPr>
        <w:t xml:space="preserve">warrants a </w:t>
      </w:r>
      <w:r w:rsidR="00F140B8" w:rsidRPr="001B4D0D">
        <w:rPr>
          <w:rFonts w:asciiTheme="majorBidi" w:hAnsiTheme="majorBidi" w:cstheme="majorBidi"/>
          <w:color w:val="C00000"/>
          <w:sz w:val="22"/>
          <w:szCs w:val="22"/>
        </w:rPr>
        <w:t>qualitative</w:t>
      </w:r>
      <w:r w:rsidR="00C01DF6" w:rsidRPr="001B4D0D">
        <w:rPr>
          <w:rFonts w:asciiTheme="majorBidi" w:hAnsiTheme="majorBidi" w:cstheme="majorBidi"/>
          <w:color w:val="C00000"/>
          <w:sz w:val="22"/>
          <w:szCs w:val="22"/>
        </w:rPr>
        <w:t xml:space="preserve"> focus,</w:t>
      </w:r>
      <w:r w:rsidR="002C187F" w:rsidRPr="001B4D0D">
        <w:rPr>
          <w:rFonts w:asciiTheme="majorBidi" w:hAnsiTheme="majorBidi" w:cstheme="majorBidi"/>
          <w:b/>
          <w:bCs/>
        </w:rPr>
        <w:br w:type="page"/>
      </w:r>
    </w:p>
    <w:p w14:paraId="13D449D6" w14:textId="7FF07FB7" w:rsidR="002C187F" w:rsidRDefault="002C187F" w:rsidP="0042123B">
      <w:pPr>
        <w:pStyle w:val="Heading2"/>
        <w:rPr>
          <w:rFonts w:asciiTheme="majorBidi" w:hAnsiTheme="majorBidi"/>
          <w:color w:val="auto"/>
        </w:rPr>
      </w:pPr>
      <w:commentRangeStart w:id="13"/>
      <w:commentRangeStart w:id="14"/>
      <w:commentRangeStart w:id="15"/>
      <w:r w:rsidRPr="001B4D0D">
        <w:rPr>
          <w:rFonts w:asciiTheme="majorBidi" w:hAnsiTheme="majorBidi"/>
          <w:color w:val="auto"/>
        </w:rPr>
        <w:lastRenderedPageBreak/>
        <w:t>Sampling</w:t>
      </w:r>
      <w:r w:rsidR="00FC0897" w:rsidRPr="001B4D0D">
        <w:rPr>
          <w:rFonts w:asciiTheme="majorBidi" w:hAnsiTheme="majorBidi"/>
          <w:color w:val="auto"/>
        </w:rPr>
        <w:t xml:space="preserve"> Strategy</w:t>
      </w:r>
      <w:commentRangeEnd w:id="13"/>
      <w:r w:rsidR="0042123B">
        <w:rPr>
          <w:rStyle w:val="CommentReference"/>
          <w:rFonts w:asciiTheme="majorBidi" w:hAnsiTheme="majorBidi"/>
          <w:color w:val="auto"/>
          <w:sz w:val="32"/>
          <w:szCs w:val="32"/>
        </w:rPr>
        <w:commentReference w:id="13"/>
      </w:r>
      <w:commentRangeEnd w:id="14"/>
      <w:r w:rsidR="008C3858">
        <w:rPr>
          <w:rStyle w:val="CommentReference"/>
          <w:rFonts w:asciiTheme="majorBidi" w:hAnsiTheme="majorBidi"/>
          <w:color w:val="auto"/>
          <w:sz w:val="32"/>
          <w:szCs w:val="32"/>
        </w:rPr>
        <w:commentReference w:id="14"/>
      </w:r>
      <w:commentRangeEnd w:id="15"/>
      <w:r w:rsidR="00836400">
        <w:rPr>
          <w:rStyle w:val="CommentReference"/>
          <w:rFonts w:asciiTheme="majorBidi" w:hAnsiTheme="majorBidi"/>
          <w:color w:val="auto"/>
          <w:sz w:val="32"/>
          <w:szCs w:val="32"/>
        </w:rPr>
        <w:commentReference w:id="15"/>
      </w:r>
    </w:p>
    <w:p w14:paraId="555A1963" w14:textId="77777777" w:rsidR="003D0409" w:rsidRPr="006D3065" w:rsidRDefault="003D0409" w:rsidP="003D0409">
      <w:pPr>
        <w:rPr>
          <w:rFonts w:asciiTheme="majorBidi" w:hAnsiTheme="majorBidi"/>
        </w:rPr>
      </w:pPr>
      <w:r w:rsidRPr="006D3065">
        <w:rPr>
          <w:rFonts w:asciiTheme="majorBidi" w:hAnsiTheme="majorBidi"/>
        </w:rPr>
        <w:t>This section replaces your earlier breakdown but retains the substance.</w:t>
      </w:r>
    </w:p>
    <w:p w14:paraId="7C8CD429" w14:textId="77777777" w:rsidR="003D0409" w:rsidRPr="006D3065" w:rsidRDefault="003D0409" w:rsidP="003D0409">
      <w:pPr>
        <w:rPr>
          <w:rFonts w:asciiTheme="majorBidi" w:hAnsiTheme="majorBidi"/>
        </w:rPr>
      </w:pPr>
      <w:r w:rsidRPr="006D3065">
        <w:rPr>
          <w:rFonts w:asciiTheme="majorBidi" w:hAnsiTheme="majorBidi"/>
        </w:rPr>
        <w:t>Subsections should address:</w:t>
      </w:r>
    </w:p>
    <w:p w14:paraId="41B429FF" w14:textId="77777777" w:rsidR="003D0409" w:rsidRPr="006D3065" w:rsidRDefault="003D0409" w:rsidP="003D0409">
      <w:pPr>
        <w:rPr>
          <w:rFonts w:asciiTheme="majorBidi" w:hAnsiTheme="majorBidi"/>
        </w:rPr>
      </w:pPr>
      <w:r w:rsidRPr="006D3065">
        <w:rPr>
          <w:rFonts w:asciiTheme="majorBidi" w:hAnsiTheme="majorBidi"/>
        </w:rPr>
        <w:t xml:space="preserve">• </w:t>
      </w:r>
      <w:r w:rsidRPr="006D3065">
        <w:rPr>
          <w:rFonts w:asciiTheme="majorBidi" w:hAnsiTheme="majorBidi"/>
          <w:b/>
          <w:bCs/>
        </w:rPr>
        <w:t>Leadership actors and participants</w:t>
      </w:r>
      <w:r w:rsidRPr="006D3065">
        <w:rPr>
          <w:rFonts w:asciiTheme="majorBidi" w:hAnsiTheme="majorBidi"/>
        </w:rPr>
        <w:t xml:space="preserve"> – the leaders analysed and the categories of members or former members considered for interviews.</w:t>
      </w:r>
      <w:r w:rsidRPr="006D3065">
        <w:rPr>
          <w:rFonts w:asciiTheme="majorBidi" w:hAnsiTheme="majorBidi"/>
        </w:rPr>
        <w:br/>
        <w:t xml:space="preserve">• </w:t>
      </w:r>
      <w:r w:rsidRPr="006D3065">
        <w:rPr>
          <w:rFonts w:asciiTheme="majorBidi" w:hAnsiTheme="majorBidi"/>
          <w:b/>
          <w:bCs/>
        </w:rPr>
        <w:t>Temporal sampling</w:t>
      </w:r>
      <w:r w:rsidRPr="006D3065">
        <w:rPr>
          <w:rFonts w:asciiTheme="majorBidi" w:hAnsiTheme="majorBidi"/>
        </w:rPr>
        <w:t xml:space="preserve"> – how texts and events are selected across leadership periods.</w:t>
      </w:r>
      <w:r w:rsidRPr="006D3065">
        <w:rPr>
          <w:rFonts w:asciiTheme="majorBidi" w:hAnsiTheme="majorBidi"/>
        </w:rPr>
        <w:br/>
        <w:t xml:space="preserve">• </w:t>
      </w:r>
      <w:r w:rsidRPr="006D3065">
        <w:rPr>
          <w:rFonts w:asciiTheme="majorBidi" w:hAnsiTheme="majorBidi"/>
          <w:b/>
          <w:bCs/>
        </w:rPr>
        <w:t>Material selection</w:t>
      </w:r>
      <w:r w:rsidRPr="006D3065">
        <w:rPr>
          <w:rFonts w:asciiTheme="majorBidi" w:hAnsiTheme="majorBidi"/>
        </w:rPr>
        <w:t xml:space="preserve"> – criteria used to identify speeches, sermons, newspapers, pamphlets, and other </w:t>
      </w:r>
      <w:commentRangeStart w:id="16"/>
      <w:r w:rsidRPr="006D3065">
        <w:rPr>
          <w:rFonts w:asciiTheme="majorBidi" w:hAnsiTheme="majorBidi"/>
        </w:rPr>
        <w:t>sources</w:t>
      </w:r>
      <w:commentRangeEnd w:id="16"/>
      <w:r w:rsidR="0051555D" w:rsidRPr="006D3065">
        <w:rPr>
          <w:rStyle w:val="CommentReference"/>
          <w:rFonts w:asciiTheme="majorBidi" w:hAnsiTheme="majorBidi"/>
          <w:sz w:val="24"/>
          <w:szCs w:val="24"/>
        </w:rPr>
        <w:commentReference w:id="16"/>
      </w:r>
      <w:r w:rsidRPr="006D3065">
        <w:rPr>
          <w:rFonts w:asciiTheme="majorBidi" w:hAnsiTheme="majorBidi"/>
        </w:rPr>
        <w:t>.</w:t>
      </w:r>
    </w:p>
    <w:p w14:paraId="5532868B" w14:textId="77777777" w:rsidR="003E6813" w:rsidRDefault="003E6813" w:rsidP="003E6813">
      <w:pPr>
        <w:spacing w:line="360" w:lineRule="auto"/>
        <w:jc w:val="both"/>
        <w:rPr>
          <w:rFonts w:asciiTheme="majorBidi" w:hAnsiTheme="majorBidi" w:cstheme="majorBidi"/>
          <w:b/>
          <w:bCs/>
          <w:color w:val="C00000"/>
        </w:rPr>
      </w:pPr>
    </w:p>
    <w:p w14:paraId="0EF85EF2" w14:textId="77777777" w:rsidR="00BC05BF" w:rsidRDefault="00BC05BF" w:rsidP="003E6813">
      <w:pPr>
        <w:spacing w:line="360" w:lineRule="auto"/>
        <w:jc w:val="both"/>
        <w:rPr>
          <w:rFonts w:asciiTheme="majorBidi" w:hAnsiTheme="majorBidi" w:cstheme="majorBidi"/>
          <w:b/>
          <w:bCs/>
          <w:color w:val="C00000"/>
        </w:rPr>
      </w:pPr>
    </w:p>
    <w:p w14:paraId="2F0B4CED" w14:textId="77777777" w:rsidR="0051555D" w:rsidRPr="003D3870" w:rsidRDefault="0051555D" w:rsidP="003E6813">
      <w:pPr>
        <w:spacing w:line="360" w:lineRule="auto"/>
        <w:jc w:val="both"/>
        <w:rPr>
          <w:rFonts w:asciiTheme="majorBidi" w:hAnsiTheme="majorBidi" w:cstheme="majorBidi"/>
          <w:color w:val="C00000"/>
        </w:rPr>
      </w:pPr>
    </w:p>
    <w:p w14:paraId="21C53DCE" w14:textId="77777777" w:rsidR="0051555D" w:rsidRDefault="0051555D" w:rsidP="003E6813">
      <w:pPr>
        <w:spacing w:line="360" w:lineRule="auto"/>
        <w:jc w:val="both"/>
        <w:rPr>
          <w:rFonts w:asciiTheme="majorBidi" w:hAnsiTheme="majorBidi" w:cstheme="majorBidi"/>
          <w:b/>
          <w:bCs/>
          <w:color w:val="C00000"/>
        </w:rPr>
      </w:pPr>
    </w:p>
    <w:p w14:paraId="197E3B35" w14:textId="77777777" w:rsidR="0051555D" w:rsidRDefault="0051555D" w:rsidP="003E6813">
      <w:pPr>
        <w:spacing w:line="360" w:lineRule="auto"/>
        <w:jc w:val="both"/>
        <w:rPr>
          <w:rFonts w:asciiTheme="majorBidi" w:hAnsiTheme="majorBidi" w:cstheme="majorBidi"/>
          <w:b/>
          <w:bCs/>
          <w:color w:val="C00000"/>
        </w:rPr>
      </w:pPr>
    </w:p>
    <w:p w14:paraId="2AAF6E38" w14:textId="77777777" w:rsidR="00074FC7" w:rsidRDefault="00074FC7" w:rsidP="003E6813">
      <w:pPr>
        <w:spacing w:line="360" w:lineRule="auto"/>
        <w:jc w:val="both"/>
        <w:rPr>
          <w:rFonts w:asciiTheme="majorBidi" w:hAnsiTheme="majorBidi" w:cstheme="majorBidi"/>
          <w:b/>
          <w:bCs/>
          <w:color w:val="C00000"/>
        </w:rPr>
      </w:pPr>
    </w:p>
    <w:p w14:paraId="30AE1ADF" w14:textId="77777777" w:rsidR="00074FC7" w:rsidRDefault="00074FC7" w:rsidP="003E6813">
      <w:pPr>
        <w:spacing w:line="360" w:lineRule="auto"/>
        <w:jc w:val="both"/>
        <w:rPr>
          <w:rFonts w:asciiTheme="majorBidi" w:hAnsiTheme="majorBidi" w:cstheme="majorBidi"/>
          <w:b/>
          <w:bCs/>
          <w:color w:val="C00000"/>
        </w:rPr>
      </w:pPr>
    </w:p>
    <w:p w14:paraId="5DAC297E" w14:textId="19EAE766" w:rsidR="003E6813" w:rsidRPr="00E12E26" w:rsidRDefault="003E6813" w:rsidP="00982FFB">
      <w:pPr>
        <w:pStyle w:val="Heading3"/>
      </w:pPr>
      <w:r>
        <w:t>Movement</w:t>
      </w:r>
      <w:r w:rsidR="00982FFB">
        <w:t xml:space="preserve"> and Leaders Selection</w:t>
      </w:r>
    </w:p>
    <w:p w14:paraId="30C0A004" w14:textId="77777777" w:rsidR="003E6813" w:rsidRPr="00262464" w:rsidRDefault="003E6813" w:rsidP="003E6813">
      <w:pPr>
        <w:spacing w:line="360" w:lineRule="auto"/>
        <w:jc w:val="both"/>
        <w:rPr>
          <w:rFonts w:asciiTheme="majorBidi" w:hAnsiTheme="majorBidi" w:cstheme="majorBidi"/>
          <w:color w:val="C00000"/>
        </w:rPr>
      </w:pPr>
      <w:r w:rsidRPr="00262464">
        <w:rPr>
          <w:rFonts w:asciiTheme="majorBidi" w:hAnsiTheme="majorBidi" w:cstheme="majorBidi"/>
          <w:color w:val="C00000"/>
        </w:rPr>
        <w:t>The NOI provides a methodological setting for observing frame evolution within a controlled yet dynamic organisational environment. The movement’s highly centralised hierarchy functions as a relatively stable structural condition, allowing leadership agency to be examined as a primary driver of change. Although organisational arrangements remained broadly consistent, leadership rhetoric and framing shifted substantially across the periods examined here. This stability allows the case to support process tracing of how leaders reconfigure collective meaning without organisational collapse, a phenomenon less visible in more decentralised movements.</w:t>
      </w:r>
    </w:p>
    <w:p w14:paraId="68C779BD" w14:textId="77777777" w:rsidR="003E6813" w:rsidRPr="00262464" w:rsidRDefault="003E6813" w:rsidP="003E6813">
      <w:pPr>
        <w:spacing w:line="360" w:lineRule="auto"/>
        <w:jc w:val="both"/>
        <w:rPr>
          <w:rFonts w:asciiTheme="majorBidi" w:hAnsiTheme="majorBidi" w:cstheme="majorBidi"/>
          <w:color w:val="C00000"/>
        </w:rPr>
      </w:pPr>
      <w:r w:rsidRPr="00262464">
        <w:rPr>
          <w:rFonts w:asciiTheme="majorBidi" w:hAnsiTheme="majorBidi" w:cstheme="majorBidi"/>
          <w:color w:val="C00000"/>
        </w:rPr>
        <w:t>The NOI also functions as a critical case for evaluating the</w:t>
      </w:r>
      <w:r w:rsidRPr="00132A4A">
        <w:rPr>
          <w:rFonts w:asciiTheme="majorBidi" w:hAnsiTheme="majorBidi" w:cstheme="majorBidi"/>
          <w:color w:val="C00000"/>
        </w:rPr>
        <w:t xml:space="preserve"> </w:t>
      </w:r>
      <w:r w:rsidRPr="00262464">
        <w:rPr>
          <w:rFonts w:asciiTheme="majorBidi" w:hAnsiTheme="majorBidi" w:cstheme="majorBidi"/>
          <w:color w:val="C00000"/>
        </w:rPr>
        <w:t>PCR framework. If leadership transitions can be shown to reorder collective understandings within a movement frequently treated in Eurocentric sociology as marginal or radical, then the explanatory value of a perspectival CR approach gains wider relevance for scholarship in Black studies and political sociology.</w:t>
      </w:r>
    </w:p>
    <w:p w14:paraId="5B47321B" w14:textId="77777777" w:rsidR="003D0409" w:rsidRPr="003D0409" w:rsidRDefault="003D0409" w:rsidP="003D0409"/>
    <w:p w14:paraId="420811A6" w14:textId="1EBA8449" w:rsidR="00B469E9" w:rsidRPr="00B469E9" w:rsidRDefault="00B469E9" w:rsidP="00A02B39">
      <w:pPr>
        <w:rPr>
          <w:rFonts w:asciiTheme="majorBidi" w:hAnsiTheme="majorBidi" w:cstheme="majorBidi"/>
          <w:color w:val="C00000"/>
        </w:rPr>
      </w:pPr>
      <w:r w:rsidRPr="00B469E9">
        <w:rPr>
          <w:rFonts w:asciiTheme="majorBidi" w:hAnsiTheme="majorBidi" w:cstheme="majorBidi"/>
          <w:color w:val="C00000"/>
        </w:rPr>
        <w:lastRenderedPageBreak/>
        <w:t xml:space="preserve">Within this analytical setting, case selection follows a purposive strategy guided by theoretical considerations. </w:t>
      </w:r>
      <w:r>
        <w:rPr>
          <w:rFonts w:asciiTheme="majorBidi" w:hAnsiTheme="majorBidi" w:cstheme="majorBidi"/>
          <w:color w:val="C00000"/>
        </w:rPr>
        <w:t>Th</w:t>
      </w:r>
      <w:r w:rsidRPr="00B469E9">
        <w:rPr>
          <w:rFonts w:asciiTheme="majorBidi" w:hAnsiTheme="majorBidi" w:cstheme="majorBidi"/>
          <w:color w:val="C00000"/>
        </w:rPr>
        <w:t xml:space="preserve">e research focuses on leadership transitions and the evolution of collective action frames, </w:t>
      </w:r>
      <w:r>
        <w:rPr>
          <w:rFonts w:asciiTheme="majorBidi" w:hAnsiTheme="majorBidi" w:cstheme="majorBidi"/>
          <w:color w:val="C00000"/>
        </w:rPr>
        <w:t xml:space="preserve">therefore </w:t>
      </w:r>
      <w:r w:rsidRPr="00B469E9">
        <w:rPr>
          <w:rFonts w:asciiTheme="majorBidi" w:hAnsiTheme="majorBidi" w:cstheme="majorBidi"/>
          <w:color w:val="C00000"/>
        </w:rPr>
        <w:t xml:space="preserve">it requires attention to multiple leadership figures whose authority corresponded with identifiable shifts in </w:t>
      </w:r>
      <w:r>
        <w:rPr>
          <w:rFonts w:asciiTheme="majorBidi" w:hAnsiTheme="majorBidi" w:cstheme="majorBidi"/>
          <w:color w:val="C00000"/>
        </w:rPr>
        <w:t>framing</w:t>
      </w:r>
      <w:r w:rsidRPr="00B469E9">
        <w:rPr>
          <w:rFonts w:asciiTheme="majorBidi" w:hAnsiTheme="majorBidi" w:cstheme="majorBidi"/>
          <w:color w:val="C00000"/>
        </w:rPr>
        <w:t xml:space="preserve">. The study therefore examines the leaderships of </w:t>
      </w:r>
      <w:r>
        <w:rPr>
          <w:rFonts w:asciiTheme="majorBidi" w:hAnsiTheme="majorBidi" w:cstheme="majorBidi"/>
          <w:color w:val="C00000"/>
        </w:rPr>
        <w:t xml:space="preserve">W. D Fard Muhammad, </w:t>
      </w:r>
      <w:r w:rsidRPr="00B469E9">
        <w:rPr>
          <w:rFonts w:asciiTheme="majorBidi" w:hAnsiTheme="majorBidi" w:cstheme="majorBidi"/>
          <w:color w:val="C00000"/>
        </w:rPr>
        <w:t>Elijah Muhammad</w:t>
      </w:r>
      <w:r w:rsidR="00881876">
        <w:rPr>
          <w:rFonts w:asciiTheme="majorBidi" w:hAnsiTheme="majorBidi" w:cstheme="majorBidi"/>
          <w:color w:val="C00000"/>
        </w:rPr>
        <w:t xml:space="preserve">, </w:t>
      </w:r>
      <w:r w:rsidRPr="00B469E9">
        <w:rPr>
          <w:rFonts w:asciiTheme="majorBidi" w:hAnsiTheme="majorBidi" w:cstheme="majorBidi"/>
          <w:color w:val="C00000"/>
        </w:rPr>
        <w:t xml:space="preserve">Warith Deen Mohammed, and Louis Farrakhan. </w:t>
      </w:r>
      <w:r w:rsidR="00A02B39" w:rsidRPr="00A02B39">
        <w:rPr>
          <w:rFonts w:asciiTheme="majorBidi" w:hAnsiTheme="majorBidi" w:cstheme="majorBidi"/>
          <w:color w:val="C00000"/>
        </w:rPr>
        <w:t>Within this selection includes an analysis of pivotal auxiliary figures such as Malcolm X</w:t>
      </w:r>
      <w:r w:rsidR="00A02B39">
        <w:rPr>
          <w:rFonts w:asciiTheme="majorBidi" w:hAnsiTheme="majorBidi" w:cstheme="majorBidi"/>
          <w:color w:val="C00000"/>
        </w:rPr>
        <w:t xml:space="preserve"> and Khalid Muhammad. </w:t>
      </w:r>
      <w:r w:rsidRPr="00B469E9">
        <w:rPr>
          <w:rFonts w:asciiTheme="majorBidi" w:hAnsiTheme="majorBidi" w:cstheme="majorBidi"/>
          <w:color w:val="C00000"/>
        </w:rPr>
        <w:t>Each of these figures occupied positions that placed them at the centre of the movement’s interpretive production. They were recognised internally as influential leaders but also served externally as the most visible representatives of the organisation. Their speeches</w:t>
      </w:r>
      <w:r w:rsidR="00E27F81">
        <w:rPr>
          <w:rFonts w:asciiTheme="majorBidi" w:hAnsiTheme="majorBidi" w:cstheme="majorBidi"/>
          <w:color w:val="C00000"/>
        </w:rPr>
        <w:t xml:space="preserve"> </w:t>
      </w:r>
      <w:r w:rsidRPr="00B469E9">
        <w:rPr>
          <w:rFonts w:asciiTheme="majorBidi" w:hAnsiTheme="majorBidi" w:cstheme="majorBidi"/>
          <w:color w:val="C00000"/>
        </w:rPr>
        <w:t>and organisational interventions therefore provide key empirical points through which shifts in framing can be examined.</w:t>
      </w:r>
    </w:p>
    <w:p w14:paraId="4A99DD54" w14:textId="77777777" w:rsidR="00B469E9" w:rsidRPr="00B469E9" w:rsidRDefault="00B469E9" w:rsidP="00B469E9">
      <w:pPr>
        <w:rPr>
          <w:rFonts w:asciiTheme="majorBidi" w:hAnsiTheme="majorBidi" w:cstheme="majorBidi"/>
          <w:color w:val="C00000"/>
        </w:rPr>
      </w:pPr>
      <w:r w:rsidRPr="00B469E9">
        <w:rPr>
          <w:rFonts w:asciiTheme="majorBidi" w:hAnsiTheme="majorBidi" w:cstheme="majorBidi"/>
          <w:color w:val="C00000"/>
        </w:rPr>
        <w:t>Although Wallace Fard Muhammad is widely recognised as the founder of the movement, his role in shaping its interpretive structure is primarily formative and less amenable to systematic empirical analysis. The historical record concerning Fard remains limited, with relatively few primary materials available. Much of the available information derives from accounts produced later under the leadership of Elijah Muhammad (Morrow, 2019, p. 36), and even this interpretive tradition has been subject to scholarly debate (Bowen, 2017, p. 291). These evidentiary constraints make it difficult to analyse Fard’s leadership using the methodological tools employed in this study, which rely heavily on traceable rhetorical and organisational materials.</w:t>
      </w:r>
    </w:p>
    <w:p w14:paraId="27920F01" w14:textId="763FFFEB" w:rsidR="00727E2E" w:rsidRPr="001B4D0D" w:rsidRDefault="00B87A8A" w:rsidP="00B87A8A">
      <w:pPr>
        <w:rPr>
          <w:rFonts w:asciiTheme="majorBidi" w:hAnsiTheme="majorBidi" w:cstheme="majorBidi"/>
          <w:color w:val="C00000"/>
        </w:rPr>
      </w:pPr>
      <w:r w:rsidRPr="00B87A8A">
        <w:rPr>
          <w:rFonts w:asciiTheme="majorBidi" w:hAnsiTheme="majorBidi" w:cstheme="majorBidi"/>
          <w:color w:val="C00000"/>
        </w:rPr>
        <w:t xml:space="preserve">Nonetheless, a foundational analysis of Fard Muhammad’s tenure remains essential, as it represents the ontological </w:t>
      </w:r>
      <w:r w:rsidR="000B5212" w:rsidRPr="00B87A8A">
        <w:rPr>
          <w:rFonts w:asciiTheme="majorBidi" w:hAnsiTheme="majorBidi" w:cstheme="majorBidi"/>
          <w:color w:val="C00000"/>
        </w:rPr>
        <w:t>basis</w:t>
      </w:r>
      <w:r w:rsidRPr="00B87A8A">
        <w:rPr>
          <w:rFonts w:asciiTheme="majorBidi" w:hAnsiTheme="majorBidi" w:cstheme="majorBidi"/>
          <w:color w:val="C00000"/>
        </w:rPr>
        <w:t xml:space="preserve"> from which the movement’s early collective action frames emerged. While the empirical record is sparse, the</w:t>
      </w:r>
      <w:commentRangeStart w:id="17"/>
      <w:r w:rsidRPr="00112B8F">
        <w:rPr>
          <w:rFonts w:asciiTheme="majorBidi" w:hAnsiTheme="majorBidi" w:cstheme="majorBidi"/>
          <w:color w:val="C00000"/>
        </w:rPr>
        <w:t xml:space="preserve"> 'Lost-Found' narrative and the Supreme Wisdom Lessons</w:t>
      </w:r>
      <w:commentRangeEnd w:id="17"/>
      <w:r w:rsidR="00A20A30" w:rsidRPr="00B87A8A">
        <w:rPr>
          <w:rStyle w:val="CommentReference"/>
          <w:rFonts w:asciiTheme="majorBidi" w:hAnsiTheme="majorBidi" w:cstheme="majorBidi"/>
          <w:color w:val="C00000"/>
          <w:sz w:val="24"/>
          <w:szCs w:val="24"/>
        </w:rPr>
        <w:commentReference w:id="17"/>
      </w:r>
      <w:r w:rsidRPr="00B87A8A">
        <w:rPr>
          <w:rFonts w:asciiTheme="majorBidi" w:hAnsiTheme="majorBidi" w:cstheme="majorBidi"/>
          <w:color w:val="C00000"/>
        </w:rPr>
        <w:t xml:space="preserve"> attributed to him established the initial boundary markers of the group’s identity. </w:t>
      </w:r>
      <w:r w:rsidR="00112B8F">
        <w:rPr>
          <w:rFonts w:asciiTheme="majorBidi" w:hAnsiTheme="majorBidi" w:cstheme="majorBidi"/>
          <w:color w:val="C00000"/>
        </w:rPr>
        <w:t>With</w:t>
      </w:r>
      <w:r w:rsidRPr="00B87A8A">
        <w:rPr>
          <w:rFonts w:asciiTheme="majorBidi" w:hAnsiTheme="majorBidi" w:cstheme="majorBidi"/>
          <w:color w:val="C00000"/>
        </w:rPr>
        <w:t xml:space="preserve"> these primordial frame</w:t>
      </w:r>
      <w:r w:rsidR="00112B8F">
        <w:rPr>
          <w:rFonts w:asciiTheme="majorBidi" w:hAnsiTheme="majorBidi" w:cstheme="majorBidi"/>
          <w:color w:val="C00000"/>
        </w:rPr>
        <w:t>s</w:t>
      </w:r>
      <w:r w:rsidRPr="00B87A8A">
        <w:rPr>
          <w:rFonts w:asciiTheme="majorBidi" w:hAnsiTheme="majorBidi" w:cstheme="majorBidi"/>
          <w:color w:val="C00000"/>
        </w:rPr>
        <w:t>, this study can effectively trace how subsequent leaders</w:t>
      </w:r>
      <w:r w:rsidR="00112B8F">
        <w:rPr>
          <w:rFonts w:asciiTheme="majorBidi" w:hAnsiTheme="majorBidi" w:cstheme="majorBidi"/>
          <w:color w:val="C00000"/>
        </w:rPr>
        <w:t xml:space="preserve"> </w:t>
      </w:r>
      <w:r w:rsidR="00A20A30">
        <w:rPr>
          <w:rFonts w:asciiTheme="majorBidi" w:hAnsiTheme="majorBidi" w:cstheme="majorBidi"/>
          <w:color w:val="C00000"/>
        </w:rPr>
        <w:t xml:space="preserve">managed the </w:t>
      </w:r>
      <w:r w:rsidRPr="00B87A8A">
        <w:rPr>
          <w:rFonts w:asciiTheme="majorBidi" w:hAnsiTheme="majorBidi" w:cstheme="majorBidi"/>
          <w:color w:val="C00000"/>
        </w:rPr>
        <w:t xml:space="preserve">original interpretive core. </w:t>
      </w:r>
    </w:p>
    <w:p w14:paraId="3FB19392" w14:textId="77777777" w:rsidR="002B1BFE" w:rsidRPr="001B4D0D" w:rsidRDefault="002B1BFE" w:rsidP="002C187F">
      <w:pPr>
        <w:rPr>
          <w:rFonts w:asciiTheme="majorBidi" w:hAnsiTheme="majorBidi" w:cstheme="majorBidi"/>
          <w:color w:val="C00000"/>
        </w:rPr>
      </w:pPr>
    </w:p>
    <w:p w14:paraId="7E69A390" w14:textId="77777777" w:rsidR="00E4165C" w:rsidRPr="001B4D0D" w:rsidRDefault="00E4165C" w:rsidP="002C187F">
      <w:pPr>
        <w:rPr>
          <w:rFonts w:asciiTheme="majorBidi" w:hAnsiTheme="majorBidi" w:cstheme="majorBidi"/>
          <w:color w:val="C00000"/>
        </w:rPr>
      </w:pPr>
    </w:p>
    <w:p w14:paraId="71CB5153" w14:textId="77777777" w:rsidR="00E4165C" w:rsidRPr="001B4D0D" w:rsidRDefault="00E4165C" w:rsidP="002C187F">
      <w:pPr>
        <w:rPr>
          <w:rFonts w:asciiTheme="majorBidi" w:hAnsiTheme="majorBidi" w:cstheme="majorBidi"/>
          <w:color w:val="C00000"/>
        </w:rPr>
      </w:pPr>
    </w:p>
    <w:p w14:paraId="6C604F04" w14:textId="77777777" w:rsidR="003E6813" w:rsidRPr="000C1326" w:rsidRDefault="003E6813" w:rsidP="003E6813">
      <w:pPr>
        <w:pStyle w:val="Heading3"/>
      </w:pPr>
      <w:commentRangeStart w:id="18"/>
      <w:r w:rsidRPr="000C1326">
        <w:t>Temporal Scope and Periodization</w:t>
      </w:r>
      <w:commentRangeEnd w:id="18"/>
      <w:r w:rsidR="00735E72" w:rsidRPr="000C1326">
        <w:rPr>
          <w:rStyle w:val="CommentReference"/>
          <w:sz w:val="28"/>
          <w:szCs w:val="28"/>
        </w:rPr>
        <w:commentReference w:id="18"/>
      </w:r>
    </w:p>
    <w:p w14:paraId="45C434D4" w14:textId="77777777" w:rsidR="003E6813" w:rsidRPr="0034202E" w:rsidRDefault="003E6813" w:rsidP="003E6813">
      <w:pPr>
        <w:spacing w:line="360" w:lineRule="auto"/>
        <w:jc w:val="both"/>
        <w:rPr>
          <w:rFonts w:asciiTheme="majorBidi" w:eastAsia="Times New Roman" w:hAnsiTheme="majorBidi" w:cstheme="majorBidi"/>
          <w:color w:val="C00000"/>
          <w:kern w:val="0"/>
          <w:lang w:eastAsia="en-GB"/>
          <w14:ligatures w14:val="none"/>
        </w:rPr>
      </w:pPr>
      <w:r w:rsidRPr="0034202E">
        <w:rPr>
          <w:rFonts w:asciiTheme="majorBidi" w:eastAsia="Times New Roman" w:hAnsiTheme="majorBidi" w:cstheme="majorBidi"/>
          <w:color w:val="C00000"/>
          <w:kern w:val="0"/>
          <w:lang w:eastAsia="en-GB"/>
          <w14:ligatures w14:val="none"/>
        </w:rPr>
        <w:t>The study adopts a dual temporal design covering the period from 1934 to 1995. This structure enables long-term analysis across several decades while allowing close examination of moments in which change becomes particularly visible.</w:t>
      </w:r>
    </w:p>
    <w:p w14:paraId="132B83E8" w14:textId="77777777" w:rsidR="003E6813" w:rsidRPr="0034202E" w:rsidRDefault="003E6813" w:rsidP="003E6813">
      <w:pPr>
        <w:spacing w:line="360" w:lineRule="auto"/>
        <w:jc w:val="both"/>
        <w:rPr>
          <w:rFonts w:asciiTheme="majorBidi" w:eastAsia="Times New Roman" w:hAnsiTheme="majorBidi" w:cstheme="majorBidi"/>
          <w:color w:val="C00000"/>
          <w:kern w:val="0"/>
          <w:lang w:eastAsia="en-GB"/>
          <w14:ligatures w14:val="none"/>
        </w:rPr>
      </w:pPr>
      <w:r w:rsidRPr="0034202E">
        <w:rPr>
          <w:rFonts w:asciiTheme="majorBidi" w:eastAsia="Times New Roman" w:hAnsiTheme="majorBidi" w:cstheme="majorBidi"/>
          <w:color w:val="C00000"/>
          <w:kern w:val="0"/>
          <w:lang w:eastAsia="en-GB"/>
          <w14:ligatures w14:val="none"/>
        </w:rPr>
        <w:t xml:space="preserve">At the longitudinal level, the research conducts a diachronic analysis of frame development across roughly six decades. This scope allows the study to trace how foundational themes persist, adapt, or decline across successive leadership periods. Examining the leaderships of Elijah Muhammad, Warith Deen Mohammed, and Louis Farrakhan allows identification of </w:t>
      </w:r>
      <w:r w:rsidRPr="0034202E">
        <w:rPr>
          <w:rFonts w:asciiTheme="majorBidi" w:eastAsia="Times New Roman" w:hAnsiTheme="majorBidi" w:cstheme="majorBidi"/>
          <w:color w:val="C00000"/>
          <w:kern w:val="0"/>
          <w:lang w:eastAsia="en-GB"/>
          <w14:ligatures w14:val="none"/>
        </w:rPr>
        <w:lastRenderedPageBreak/>
        <w:t>patterns of continuity alongside transformation, clarifying the durability of the movement’s interpretive repertoire.</w:t>
      </w:r>
    </w:p>
    <w:p w14:paraId="07701B6C" w14:textId="77777777" w:rsidR="003E6813" w:rsidRPr="0034202E" w:rsidRDefault="003E6813" w:rsidP="003E6813">
      <w:pPr>
        <w:spacing w:line="360" w:lineRule="auto"/>
        <w:jc w:val="both"/>
        <w:rPr>
          <w:rFonts w:asciiTheme="majorBidi" w:eastAsia="Times New Roman" w:hAnsiTheme="majorBidi" w:cstheme="majorBidi"/>
          <w:color w:val="C00000"/>
          <w:kern w:val="0"/>
          <w:lang w:eastAsia="en-GB"/>
          <w14:ligatures w14:val="none"/>
        </w:rPr>
      </w:pPr>
      <w:r w:rsidRPr="0034202E">
        <w:rPr>
          <w:rFonts w:asciiTheme="majorBidi" w:eastAsia="Times New Roman" w:hAnsiTheme="majorBidi" w:cstheme="majorBidi"/>
          <w:color w:val="C00000"/>
          <w:kern w:val="0"/>
          <w:lang w:eastAsia="en-GB"/>
          <w14:ligatures w14:val="none"/>
        </w:rPr>
        <w:t>Within this broader scope, the analysis also adopts a synchronic focus on leadership transitions. These moments are treated as periods in which rhetorical and organisational change intensifies. During the years surrounding succession events, the analytical lens narrows to examine the interpretive work carried out by leaders and movement actors. This approach captures how leadership manages the demands of continuity while introducing reinterpretation or reformulation.</w:t>
      </w:r>
    </w:p>
    <w:p w14:paraId="72D8C44A" w14:textId="77777777" w:rsidR="003E6813" w:rsidRPr="0034202E" w:rsidRDefault="003E6813" w:rsidP="003E6813">
      <w:pPr>
        <w:spacing w:line="360" w:lineRule="auto"/>
        <w:jc w:val="both"/>
        <w:rPr>
          <w:rFonts w:asciiTheme="majorBidi" w:eastAsia="Times New Roman" w:hAnsiTheme="majorBidi" w:cstheme="majorBidi"/>
          <w:color w:val="C00000"/>
          <w:kern w:val="0"/>
          <w:lang w:eastAsia="en-GB"/>
          <w14:ligatures w14:val="none"/>
        </w:rPr>
      </w:pPr>
      <w:r w:rsidRPr="0034202E">
        <w:rPr>
          <w:rFonts w:asciiTheme="majorBidi" w:eastAsia="Times New Roman" w:hAnsiTheme="majorBidi" w:cstheme="majorBidi"/>
          <w:color w:val="C00000"/>
          <w:kern w:val="0"/>
          <w:lang w:eastAsia="en-GB"/>
          <w14:ligatures w14:val="none"/>
        </w:rPr>
        <w:t>The period under study is divided into three analytical phases with particular attention to the transitions linking them. The first phase extends from 1930 to 1951 and examines the movement’s formation under W. D. Fard Muhammad and Elijah Muhammad. This stage establishes the foundational frames that shaped the Nation of Islam’s collective identity and political outlook, providing the baseline for later developments. The second phase covers the years from 1952 to 1977. This interval includes internal contestation surrounding Malcolm X and culminates in Warith Deen Mohammed’s succession and the movement’s shift toward orthodox Islam. It represents a period of organisational rupture and doctrinal reformulation, enabling analysis of how leadership sought to redirect the movement’s ideological trajectory. The third phase runs from 1977 to 1995 and examines Louis Farrakhan’s reconstruction of the organisation alongside the reactivation of earlier symbolic resources. During this period the analysis considers how inherited themes were reinterpreted in relation to the political conditions of the late twentieth century, generating renewed mobilisation.</w:t>
      </w:r>
    </w:p>
    <w:p w14:paraId="00EF44B8" w14:textId="77777777" w:rsidR="003E6813" w:rsidRPr="0034202E" w:rsidRDefault="003E6813" w:rsidP="003E6813">
      <w:pPr>
        <w:spacing w:line="360" w:lineRule="auto"/>
        <w:jc w:val="both"/>
        <w:rPr>
          <w:rFonts w:asciiTheme="majorBidi" w:eastAsia="Times New Roman" w:hAnsiTheme="majorBidi" w:cstheme="majorBidi"/>
          <w:color w:val="C00000"/>
          <w:kern w:val="0"/>
          <w:lang w:eastAsia="en-GB"/>
          <w14:ligatures w14:val="none"/>
        </w:rPr>
      </w:pPr>
      <w:r w:rsidRPr="0034202E">
        <w:rPr>
          <w:rFonts w:asciiTheme="majorBidi" w:eastAsia="Times New Roman" w:hAnsiTheme="majorBidi" w:cstheme="majorBidi"/>
          <w:color w:val="C00000"/>
          <w:kern w:val="0"/>
          <w:lang w:eastAsia="en-GB"/>
          <w14:ligatures w14:val="none"/>
        </w:rPr>
        <w:t>The study concludes in 1995 with the Million Man March, treated here as a major mobilisation outcome associated with the reconstruction phase of the movement. Ending the analysis at this point reflects both methodological and historical considerations. In the decades that followed, the public prominence of the NOI declined relative to earlier periods, particularly as political conditions shifted in the early twenty-first century. Later developments also fall outside the succession-centred transitions that structure the core analysis.</w:t>
      </w:r>
    </w:p>
    <w:p w14:paraId="762C07CE" w14:textId="77777777" w:rsidR="003E6813" w:rsidRPr="0034202E" w:rsidRDefault="003E6813" w:rsidP="003E6813">
      <w:pPr>
        <w:spacing w:line="360" w:lineRule="auto"/>
        <w:jc w:val="both"/>
        <w:rPr>
          <w:rFonts w:asciiTheme="majorBidi" w:eastAsia="Times New Roman" w:hAnsiTheme="majorBidi" w:cstheme="majorBidi"/>
          <w:color w:val="C00000"/>
          <w:kern w:val="0"/>
          <w:lang w:eastAsia="en-GB"/>
          <w14:ligatures w14:val="none"/>
        </w:rPr>
      </w:pPr>
      <w:r w:rsidRPr="0034202E">
        <w:rPr>
          <w:rFonts w:asciiTheme="majorBidi" w:eastAsia="Times New Roman" w:hAnsiTheme="majorBidi" w:cstheme="majorBidi"/>
          <w:color w:val="C00000"/>
          <w:kern w:val="0"/>
          <w:lang w:eastAsia="en-GB"/>
          <w14:ligatures w14:val="none"/>
        </w:rPr>
        <w:t xml:space="preserve">The period from 1995 to the present is nevertheless considered in cross-period reflection through the notion of residual causal power. Although this era does not contain a comparable leadership succession, it marks a change in the movement’s resonance within a transformed sociopolitical environment. Over the past three decades the NOI has operated within a markedly altered context shaped in part by the reframing of Islam in United States political </w:t>
      </w:r>
      <w:r w:rsidRPr="0034202E">
        <w:rPr>
          <w:rFonts w:asciiTheme="majorBidi" w:eastAsia="Times New Roman" w:hAnsiTheme="majorBidi" w:cstheme="majorBidi"/>
          <w:color w:val="C00000"/>
          <w:kern w:val="0"/>
          <w:lang w:eastAsia="en-GB"/>
          <w14:ligatures w14:val="none"/>
        </w:rPr>
        <w:lastRenderedPageBreak/>
        <w:t>discourse following September 11 attacks and by the rise of decentralised forms of Black radical activism. Concluding the principal analysis at 1995 therefore isolates the consolidation of Farrakhan’s leadership at the point of its greatest mobilisational visibility. This point provides a historical reference from which later developments can be interpreted. The subsequent reduction in the movement’s public prominence is approached here as a shift in the relationship between enduring organisational mechanisms and a political environment less receptive to centralised charismatic authority, even though the organisation itself persists.</w:t>
      </w:r>
    </w:p>
    <w:p w14:paraId="0B1EA00F" w14:textId="321E6B15" w:rsidR="003430DC" w:rsidRPr="001B4D0D" w:rsidRDefault="000508E8" w:rsidP="00062AC5">
      <w:pPr>
        <w:pStyle w:val="Heading3"/>
        <w:rPr>
          <w:rFonts w:asciiTheme="majorBidi" w:hAnsiTheme="majorBidi"/>
        </w:rPr>
      </w:pPr>
      <w:r>
        <w:rPr>
          <w:rFonts w:asciiTheme="majorBidi" w:hAnsiTheme="majorBidi"/>
        </w:rPr>
        <w:t xml:space="preserve">Source </w:t>
      </w:r>
      <w:commentRangeStart w:id="19"/>
      <w:commentRangeStart w:id="20"/>
      <w:commentRangeStart w:id="21"/>
      <w:commentRangeStart w:id="22"/>
      <w:r w:rsidR="003D282B" w:rsidRPr="001B4D0D">
        <w:rPr>
          <w:rFonts w:asciiTheme="majorBidi" w:hAnsiTheme="majorBidi"/>
        </w:rPr>
        <w:t>Materials</w:t>
      </w:r>
      <w:commentRangeEnd w:id="19"/>
      <w:r w:rsidR="00FA3A26" w:rsidRPr="001B4D0D">
        <w:rPr>
          <w:rStyle w:val="CommentReference"/>
          <w:rFonts w:asciiTheme="majorBidi" w:hAnsiTheme="majorBidi"/>
          <w:sz w:val="28"/>
          <w:szCs w:val="28"/>
        </w:rPr>
        <w:commentReference w:id="19"/>
      </w:r>
      <w:commentRangeEnd w:id="20"/>
      <w:r w:rsidR="004F3E8A" w:rsidRPr="001B4D0D">
        <w:rPr>
          <w:rStyle w:val="CommentReference"/>
          <w:rFonts w:asciiTheme="majorBidi" w:hAnsiTheme="majorBidi"/>
          <w:sz w:val="28"/>
          <w:szCs w:val="28"/>
        </w:rPr>
        <w:commentReference w:id="20"/>
      </w:r>
      <w:commentRangeEnd w:id="21"/>
      <w:r w:rsidR="002731A2" w:rsidRPr="001B4D0D">
        <w:rPr>
          <w:rStyle w:val="CommentReference"/>
          <w:rFonts w:asciiTheme="majorBidi" w:hAnsiTheme="majorBidi"/>
          <w:sz w:val="28"/>
          <w:szCs w:val="28"/>
        </w:rPr>
        <w:commentReference w:id="21"/>
      </w:r>
      <w:commentRangeEnd w:id="22"/>
      <w:r w:rsidR="00C95581" w:rsidRPr="001B4D0D">
        <w:rPr>
          <w:rStyle w:val="CommentReference"/>
          <w:rFonts w:asciiTheme="majorBidi" w:hAnsiTheme="majorBidi"/>
          <w:sz w:val="28"/>
          <w:szCs w:val="28"/>
        </w:rPr>
        <w:commentReference w:id="22"/>
      </w:r>
    </w:p>
    <w:p w14:paraId="3C29766C" w14:textId="3BAC961D" w:rsidR="002A7392" w:rsidRPr="002A7392" w:rsidRDefault="002A7392" w:rsidP="002A7392">
      <w:pPr>
        <w:rPr>
          <w:rFonts w:asciiTheme="majorBidi" w:hAnsiTheme="majorBidi" w:cstheme="majorBidi"/>
          <w:color w:val="C00000"/>
        </w:rPr>
      </w:pPr>
      <w:commentRangeStart w:id="23"/>
      <w:r w:rsidRPr="002A7392">
        <w:rPr>
          <w:rFonts w:asciiTheme="majorBidi" w:hAnsiTheme="majorBidi" w:cstheme="majorBidi"/>
          <w:color w:val="C00000"/>
        </w:rPr>
        <w:t xml:space="preserve">The </w:t>
      </w:r>
      <w:commentRangeEnd w:id="23"/>
      <w:r w:rsidR="00180D04" w:rsidRPr="002A7392">
        <w:rPr>
          <w:rStyle w:val="CommentReference"/>
          <w:rFonts w:asciiTheme="majorBidi" w:hAnsiTheme="majorBidi" w:cstheme="majorBidi"/>
          <w:color w:val="C00000"/>
          <w:sz w:val="24"/>
          <w:szCs w:val="24"/>
        </w:rPr>
        <w:commentReference w:id="23"/>
      </w:r>
      <w:r w:rsidRPr="002A7392">
        <w:rPr>
          <w:rFonts w:asciiTheme="majorBidi" w:hAnsiTheme="majorBidi" w:cstheme="majorBidi"/>
          <w:color w:val="C00000"/>
        </w:rPr>
        <w:t>primary corpus is designed to capture the development and circulation of collective action frames across a range of communicative forms. Particular emphasis is placed on rhetorical materials, which function as central sites for the articulation of movement identity and grievance framing.</w:t>
      </w:r>
    </w:p>
    <w:p w14:paraId="088F8D6B" w14:textId="77777777" w:rsidR="00180D04" w:rsidRDefault="002A7392" w:rsidP="00B60D79">
      <w:pPr>
        <w:rPr>
          <w:rFonts w:asciiTheme="majorBidi" w:hAnsiTheme="majorBidi" w:cstheme="majorBidi"/>
          <w:color w:val="C00000"/>
        </w:rPr>
      </w:pPr>
      <w:r w:rsidRPr="002A7392">
        <w:rPr>
          <w:rFonts w:asciiTheme="majorBidi" w:hAnsiTheme="majorBidi" w:cstheme="majorBidi"/>
          <w:color w:val="C00000"/>
        </w:rPr>
        <w:t xml:space="preserve">Internal media and periodicals constitute a core component of the corpus. Comparative analysis is conducted across the movement’s principal publications, including </w:t>
      </w:r>
      <w:r w:rsidRPr="002A7392">
        <w:rPr>
          <w:rFonts w:asciiTheme="majorBidi" w:hAnsiTheme="majorBidi" w:cstheme="majorBidi"/>
          <w:i/>
          <w:iCs/>
          <w:color w:val="C00000"/>
        </w:rPr>
        <w:t>Muhammad Speaks</w:t>
      </w:r>
      <w:r w:rsidRPr="002A7392">
        <w:rPr>
          <w:rFonts w:asciiTheme="majorBidi" w:hAnsiTheme="majorBidi" w:cstheme="majorBidi"/>
          <w:color w:val="C00000"/>
        </w:rPr>
        <w:t xml:space="preserve"> during the leadership of Elijah Muhammad, </w:t>
      </w:r>
      <w:r w:rsidRPr="002A7392">
        <w:rPr>
          <w:rFonts w:asciiTheme="majorBidi" w:hAnsiTheme="majorBidi" w:cstheme="majorBidi"/>
          <w:i/>
          <w:iCs/>
          <w:color w:val="C00000"/>
        </w:rPr>
        <w:t>Bilalian News</w:t>
      </w:r>
      <w:r w:rsidRPr="002A7392">
        <w:rPr>
          <w:rFonts w:asciiTheme="majorBidi" w:hAnsiTheme="majorBidi" w:cstheme="majorBidi"/>
          <w:color w:val="C00000"/>
        </w:rPr>
        <w:t xml:space="preserve"> under Warith Deen Mohammed, and </w:t>
      </w:r>
      <w:r w:rsidRPr="002A7392">
        <w:rPr>
          <w:rFonts w:asciiTheme="majorBidi" w:hAnsiTheme="majorBidi" w:cstheme="majorBidi"/>
          <w:i/>
          <w:iCs/>
          <w:color w:val="C00000"/>
        </w:rPr>
        <w:t>The Final Call</w:t>
      </w:r>
      <w:r w:rsidRPr="002A7392">
        <w:rPr>
          <w:rFonts w:asciiTheme="majorBidi" w:hAnsiTheme="majorBidi" w:cstheme="majorBidi"/>
          <w:color w:val="C00000"/>
        </w:rPr>
        <w:t xml:space="preserve"> during the leadership of Louis Farrakhan. These publications provide a sustained record of organisational discourse and allow examination of how interpretive frames were communicated across leadership periods. </w:t>
      </w:r>
      <w:r w:rsidR="00180D04" w:rsidRPr="001B4D0D">
        <w:rPr>
          <w:rFonts w:asciiTheme="majorBidi" w:hAnsiTheme="majorBidi" w:cstheme="majorBidi"/>
          <w:color w:val="C00000"/>
        </w:rPr>
        <w:t xml:space="preserve">Each leader has also published several works in the form of books and articles representative of ideology and attitudes towards specific issues; these have also formed an important part of how the target audience engages with the movement’s messaging. </w:t>
      </w:r>
      <w:r w:rsidRPr="002A7392">
        <w:rPr>
          <w:rFonts w:asciiTheme="majorBidi" w:hAnsiTheme="majorBidi" w:cstheme="majorBidi"/>
          <w:color w:val="C00000"/>
        </w:rPr>
        <w:t>The movement’s official website is also incorporated, as it hosts a large archive of historical documents and recorded materials.</w:t>
      </w:r>
      <w:r w:rsidR="00B60D79">
        <w:rPr>
          <w:rFonts w:asciiTheme="majorBidi" w:hAnsiTheme="majorBidi" w:cstheme="majorBidi"/>
          <w:color w:val="C00000"/>
        </w:rPr>
        <w:t xml:space="preserve"> </w:t>
      </w:r>
    </w:p>
    <w:p w14:paraId="1E00A4C6" w14:textId="0ABD472E" w:rsidR="0043791E" w:rsidRPr="002A7392" w:rsidRDefault="00180D04" w:rsidP="0043791E">
      <w:pPr>
        <w:rPr>
          <w:rFonts w:asciiTheme="majorBidi" w:hAnsiTheme="majorBidi" w:cstheme="majorBidi"/>
          <w:color w:val="C00000"/>
        </w:rPr>
      </w:pPr>
      <w:r w:rsidRPr="001B4D0D">
        <w:rPr>
          <w:rFonts w:asciiTheme="majorBidi" w:hAnsiTheme="majorBidi" w:cstheme="majorBidi"/>
          <w:color w:val="C00000"/>
        </w:rPr>
        <w:t>Public speeches have consistently dominated the discourse environment for the Nation, particularly preceding the digital age.</w:t>
      </w:r>
      <w:r>
        <w:rPr>
          <w:rFonts w:asciiTheme="majorBidi" w:hAnsiTheme="majorBidi" w:cstheme="majorBidi"/>
          <w:color w:val="C00000"/>
        </w:rPr>
        <w:t xml:space="preserve"> These, alongside</w:t>
      </w:r>
      <w:r w:rsidR="002A7392" w:rsidRPr="002A7392">
        <w:rPr>
          <w:rFonts w:asciiTheme="majorBidi" w:hAnsiTheme="majorBidi" w:cstheme="majorBidi"/>
          <w:color w:val="C00000"/>
        </w:rPr>
        <w:t xml:space="preserve"> audiovisual records form a second body of sources. Sermons, lectures, and public addresses drawn from organisational archives, alongside publicly available recordings, enable analysis of rhetorical authority as it is expressed through speech content, delivery, and symbolic performance. These materials allow the study to consider how persuasion operates through the performative dimensions of oratory.</w:t>
      </w:r>
      <w:r>
        <w:rPr>
          <w:rFonts w:asciiTheme="majorBidi" w:hAnsiTheme="majorBidi" w:cstheme="majorBidi"/>
          <w:color w:val="C00000"/>
        </w:rPr>
        <w:t xml:space="preserve"> </w:t>
      </w:r>
      <w:commentRangeStart w:id="24"/>
      <w:r w:rsidRPr="001B4D0D">
        <w:rPr>
          <w:rFonts w:asciiTheme="majorBidi" w:hAnsiTheme="majorBidi" w:cstheme="majorBidi"/>
          <w:color w:val="C00000"/>
        </w:rPr>
        <w:t xml:space="preserve">Each leader has </w:t>
      </w:r>
      <w:r>
        <w:rPr>
          <w:rFonts w:asciiTheme="majorBidi" w:hAnsiTheme="majorBidi" w:cstheme="majorBidi"/>
          <w:color w:val="C00000"/>
        </w:rPr>
        <w:t xml:space="preserve">also </w:t>
      </w:r>
      <w:r w:rsidRPr="001B4D0D">
        <w:rPr>
          <w:rFonts w:asciiTheme="majorBidi" w:hAnsiTheme="majorBidi" w:cstheme="majorBidi"/>
          <w:color w:val="C00000"/>
        </w:rPr>
        <w:t xml:space="preserve">participated in informative interviews and radio broadcasts, addressing questions of contention with situations that often involve the use of counter-frames and rhetoric that looks to dispel assumptions and accusations from opposing audiences and figures. </w:t>
      </w:r>
      <w:commentRangeEnd w:id="24"/>
      <w:r w:rsidRPr="002A7392">
        <w:rPr>
          <w:rStyle w:val="CommentReference"/>
          <w:rFonts w:asciiTheme="majorBidi" w:hAnsiTheme="majorBidi" w:cstheme="majorBidi"/>
          <w:color w:val="C00000"/>
          <w:sz w:val="24"/>
          <w:szCs w:val="24"/>
        </w:rPr>
        <w:commentReference w:id="24"/>
      </w:r>
    </w:p>
    <w:p w14:paraId="0B9B7831" w14:textId="7D7FA0E4" w:rsidR="002A7392" w:rsidRPr="002A7392" w:rsidRDefault="002A7392" w:rsidP="00B60D79">
      <w:pPr>
        <w:rPr>
          <w:rFonts w:asciiTheme="majorBidi" w:hAnsiTheme="majorBidi" w:cstheme="majorBidi"/>
          <w:color w:val="C00000"/>
        </w:rPr>
      </w:pPr>
      <w:r w:rsidRPr="002A7392">
        <w:rPr>
          <w:rFonts w:asciiTheme="majorBidi" w:hAnsiTheme="majorBidi" w:cstheme="majorBidi"/>
          <w:color w:val="C00000"/>
        </w:rPr>
        <w:t>Archival and organisational documents extend the analysis beyond public-facing rhetoric. Internal newsletters, pamphlets, and community publications held in research collections provide insight into the internal circulation of organisational narratives and the ways leadership discourse was translated into institutional practice.</w:t>
      </w:r>
      <w:r w:rsidR="00B60D79">
        <w:rPr>
          <w:rFonts w:asciiTheme="majorBidi" w:hAnsiTheme="majorBidi" w:cstheme="majorBidi"/>
          <w:color w:val="C00000"/>
        </w:rPr>
        <w:t xml:space="preserve"> </w:t>
      </w:r>
      <w:r w:rsidRPr="002A7392">
        <w:rPr>
          <w:rFonts w:asciiTheme="majorBidi" w:hAnsiTheme="majorBidi" w:cstheme="majorBidi"/>
          <w:color w:val="C00000"/>
        </w:rPr>
        <w:t xml:space="preserve">External media coverage is examined to assess resonance or dissonance between organisational discourse and the wider public sphere. Reporting and commentary from journalists, critics, and sympathetic observers allow evaluation of how the movement’s claims were interpreted outside the organisation. </w:t>
      </w:r>
      <w:r w:rsidRPr="002A7392">
        <w:rPr>
          <w:rFonts w:asciiTheme="majorBidi" w:hAnsiTheme="majorBidi" w:cstheme="majorBidi"/>
          <w:color w:val="C00000"/>
        </w:rPr>
        <w:lastRenderedPageBreak/>
        <w:t>These materials provide a basis for identifying divergences between internal self-representation and public perception.</w:t>
      </w:r>
    </w:p>
    <w:p w14:paraId="58236708" w14:textId="542BA588" w:rsidR="002A7392" w:rsidRPr="002A7392" w:rsidRDefault="002A7392" w:rsidP="000508E8">
      <w:pPr>
        <w:rPr>
          <w:rFonts w:asciiTheme="majorBidi" w:hAnsiTheme="majorBidi" w:cstheme="majorBidi"/>
          <w:color w:val="C00000"/>
        </w:rPr>
      </w:pPr>
      <w:r w:rsidRPr="002A7392">
        <w:rPr>
          <w:rFonts w:asciiTheme="majorBidi" w:hAnsiTheme="majorBidi" w:cstheme="majorBidi"/>
          <w:color w:val="C00000"/>
        </w:rPr>
        <w:t>Data collection concentrates on rhetorical and textual materials because they constitute the principal medium through which collective action frames are constructed and circulated. Materials addressed to audiences receive particular attention because they provide direct evidence of movement meaning-making and rhetorical technique. Written texts that lack a live audience remain analytically valuable, as they often present more developed framing strategies. All sources are interpreted within their historical, cultural, and political contexts, with attention to developments in American race politics, religious mobilisation, and wider social movement dynamics.</w:t>
      </w:r>
      <w:r w:rsidR="00B60D79">
        <w:rPr>
          <w:rFonts w:asciiTheme="majorBidi" w:hAnsiTheme="majorBidi" w:cstheme="majorBidi"/>
          <w:color w:val="C00000"/>
        </w:rPr>
        <w:t xml:space="preserve"> </w:t>
      </w:r>
      <w:r w:rsidRPr="002A7392">
        <w:rPr>
          <w:rFonts w:asciiTheme="majorBidi" w:hAnsiTheme="majorBidi" w:cstheme="majorBidi"/>
          <w:color w:val="C00000"/>
        </w:rPr>
        <w:t>To identify the mechanisms through which leadership frames acquire organisational force, the analysis also considers practices that extend beyond formal speech acts. Ritualised activities are examined as sites where authority and collective discipline are reproduced. These include visible markers such as the codified uniform of the Fruit of Islam and the Muslim Girls Training units, dietary regulations, the staging of public broadcasts or mass gatherings, and commemorative events. Such practices function as embodied extensions of rhetorical framing, reinforcing collective identity through visual and performative expression.</w:t>
      </w:r>
    </w:p>
    <w:p w14:paraId="61348A07" w14:textId="77777777" w:rsidR="002A7392" w:rsidRPr="002A7392" w:rsidRDefault="002A7392" w:rsidP="002A7392">
      <w:pPr>
        <w:rPr>
          <w:rFonts w:asciiTheme="majorBidi" w:hAnsiTheme="majorBidi" w:cstheme="majorBidi"/>
          <w:color w:val="C00000"/>
        </w:rPr>
      </w:pPr>
      <w:r w:rsidRPr="002A7392">
        <w:rPr>
          <w:rFonts w:asciiTheme="majorBidi" w:hAnsiTheme="majorBidi" w:cstheme="majorBidi"/>
          <w:color w:val="C00000"/>
        </w:rPr>
        <w:t>The research also considers the role of intermediary organisational actors within the movement’s internal hierarchy. Regional ministers, teachers, captains, and other mid-level figures act as conduits through which central narratives are interpreted and implemented in local contexts. Where available, organisational records relating to membership patterns and institutional development are examined in order to situate leadership discourse within broader patterns of mobilisation.</w:t>
      </w:r>
    </w:p>
    <w:p w14:paraId="37A00C81" w14:textId="77777777" w:rsidR="002A7392" w:rsidRPr="002A7392" w:rsidRDefault="002A7392" w:rsidP="002A7392">
      <w:pPr>
        <w:rPr>
          <w:rFonts w:asciiTheme="majorBidi" w:hAnsiTheme="majorBidi" w:cstheme="majorBidi"/>
          <w:color w:val="C00000"/>
        </w:rPr>
      </w:pPr>
      <w:r w:rsidRPr="002A7392">
        <w:rPr>
          <w:rFonts w:asciiTheme="majorBidi" w:hAnsiTheme="majorBidi" w:cstheme="majorBidi"/>
          <w:color w:val="C00000"/>
        </w:rPr>
        <w:t>To place the movement within its wider political environment, the study consults selected surveillance and state records. These materials provide evidence of how external scrutiny and repression influenced organisational strategy and internal developments, offering insight into the structural pressures shaping leadership decisions.</w:t>
      </w:r>
    </w:p>
    <w:p w14:paraId="04EA3BCF" w14:textId="537E0B2D" w:rsidR="002A7392" w:rsidRPr="002A7392" w:rsidRDefault="002A7392" w:rsidP="00B60D79">
      <w:pPr>
        <w:rPr>
          <w:rFonts w:asciiTheme="majorBidi" w:hAnsiTheme="majorBidi" w:cstheme="majorBidi"/>
          <w:color w:val="C00000"/>
        </w:rPr>
      </w:pPr>
      <w:r w:rsidRPr="002A7392">
        <w:rPr>
          <w:rFonts w:asciiTheme="majorBidi" w:hAnsiTheme="majorBidi" w:cstheme="majorBidi"/>
          <w:color w:val="C00000"/>
        </w:rPr>
        <w:t xml:space="preserve">Fieldwork conducted in Chicago provides situated perspectives on how leadership transitions were experienced by individuals connected to the movement. Semi-structured interviews are conducted with current and former members, with particular attention to individuals who participated in the organisation across more than one leadership period. </w:t>
      </w:r>
      <w:r w:rsidR="00B60D79" w:rsidRPr="002A7392">
        <w:rPr>
          <w:rFonts w:asciiTheme="majorBidi" w:hAnsiTheme="majorBidi" w:cstheme="majorBidi"/>
          <w:color w:val="C00000"/>
        </w:rPr>
        <w:t>Interview material provides situated insight into questions of resonance, rhetorical uptake, ideological continuity, and perceptions of leadership across time.</w:t>
      </w:r>
      <w:r w:rsidR="00B60D79">
        <w:rPr>
          <w:rFonts w:asciiTheme="majorBidi" w:hAnsiTheme="majorBidi" w:cstheme="majorBidi"/>
          <w:color w:val="C00000"/>
        </w:rPr>
        <w:t xml:space="preserve"> </w:t>
      </w:r>
      <w:r w:rsidRPr="002A7392">
        <w:rPr>
          <w:rFonts w:asciiTheme="majorBidi" w:hAnsiTheme="majorBidi" w:cstheme="majorBidi"/>
          <w:color w:val="C00000"/>
        </w:rPr>
        <w:t>Participants who have experienced only a single leadership period remain analytically useful, as their perspectives can be examined through deductive comparison with accounts from other periods.</w:t>
      </w:r>
      <w:r w:rsidR="00B60D79">
        <w:rPr>
          <w:rFonts w:asciiTheme="majorBidi" w:hAnsiTheme="majorBidi" w:cstheme="majorBidi"/>
          <w:color w:val="C00000"/>
        </w:rPr>
        <w:t xml:space="preserve"> </w:t>
      </w:r>
      <w:r w:rsidRPr="002A7392">
        <w:rPr>
          <w:rFonts w:asciiTheme="majorBidi" w:hAnsiTheme="majorBidi" w:cstheme="majorBidi"/>
          <w:color w:val="C00000"/>
        </w:rPr>
        <w:t>Participants are recruited through purposive sampling supplemented by snowball recruitment. The study seeks individuals familiar with the organisation’s internal environment, including those who have held ministerial or administrative roles within local structures. Such perspectives illuminate how central leadership discourse was mediated through intermediate organisational layers.</w:t>
      </w:r>
    </w:p>
    <w:p w14:paraId="290530AB" w14:textId="77777777" w:rsidR="002A7392" w:rsidRPr="002A7392" w:rsidRDefault="002A7392" w:rsidP="002A7392">
      <w:pPr>
        <w:rPr>
          <w:rFonts w:asciiTheme="majorBidi" w:hAnsiTheme="majorBidi" w:cstheme="majorBidi"/>
          <w:color w:val="C00000"/>
        </w:rPr>
      </w:pPr>
      <w:r w:rsidRPr="002A7392">
        <w:rPr>
          <w:rFonts w:asciiTheme="majorBidi" w:hAnsiTheme="majorBidi" w:cstheme="majorBidi"/>
          <w:color w:val="C00000"/>
        </w:rPr>
        <w:t xml:space="preserve">All stages of data collection follow established institutional ethical guidelines. Participants receive detailed information about the research prior to participation, and interview data are </w:t>
      </w:r>
      <w:r w:rsidRPr="002A7392">
        <w:rPr>
          <w:rFonts w:asciiTheme="majorBidi" w:hAnsiTheme="majorBidi" w:cstheme="majorBidi"/>
          <w:color w:val="C00000"/>
        </w:rPr>
        <w:lastRenderedPageBreak/>
        <w:t>anonymised to protect identities, particularly given the movement’s historically sensitive sociopolitical context.</w:t>
      </w:r>
    </w:p>
    <w:p w14:paraId="01BBC3D8" w14:textId="72186B1D" w:rsidR="005C5931" w:rsidRPr="001B4D0D" w:rsidRDefault="005C5931" w:rsidP="00CC4911">
      <w:pPr>
        <w:rPr>
          <w:rFonts w:asciiTheme="majorBidi" w:hAnsiTheme="majorBidi" w:cstheme="majorBidi"/>
          <w:color w:val="C00000"/>
        </w:rPr>
      </w:pPr>
    </w:p>
    <w:p w14:paraId="6EBE4C72" w14:textId="77777777" w:rsidR="002C293D" w:rsidRPr="00611751" w:rsidRDefault="00FD5930" w:rsidP="00611751">
      <w:pPr>
        <w:pStyle w:val="Heading3"/>
      </w:pPr>
      <w:commentRangeStart w:id="25"/>
      <w:r w:rsidRPr="00611751">
        <w:t>Sampling</w:t>
      </w:r>
      <w:commentRangeEnd w:id="25"/>
      <w:r w:rsidR="00357EA3" w:rsidRPr="00611751">
        <w:rPr>
          <w:rStyle w:val="CommentReference"/>
          <w:sz w:val="28"/>
          <w:szCs w:val="28"/>
        </w:rPr>
        <w:commentReference w:id="25"/>
      </w:r>
    </w:p>
    <w:p w14:paraId="47C32F81" w14:textId="32088179" w:rsidR="002C293D" w:rsidRPr="002C293D" w:rsidRDefault="002C293D" w:rsidP="002C293D">
      <w:pPr>
        <w:rPr>
          <w:rFonts w:asciiTheme="majorBidi" w:hAnsiTheme="majorBidi" w:cstheme="majorBidi"/>
          <w:color w:val="C00000"/>
        </w:rPr>
      </w:pPr>
      <w:r w:rsidRPr="002C293D">
        <w:rPr>
          <w:rFonts w:asciiTheme="majorBidi" w:hAnsiTheme="majorBidi" w:cstheme="majorBidi"/>
          <w:color w:val="C00000"/>
        </w:rPr>
        <w:t>Sampling will be iterative allowing for adjustment as certain patterns become clearer. Textual inclusion will be guided by relevance to the research questions, as opposed to representativeness in a statistical sense. Not all speeches or texts will be required to analyse, especially if they do not target a particular grievance for interpretation. Similar will be the case within texts, where not all content will be required to explore; where newspaper content is used, for instance, selection will prioritise leadership-authored articles and member testimonials or interviews, particularly those that indicate resonance and recruitment narratives, or ideological transmission.</w:t>
      </w:r>
    </w:p>
    <w:p w14:paraId="404340B1" w14:textId="239AAB1F" w:rsidR="002C293D" w:rsidRPr="002C293D" w:rsidRDefault="002C293D" w:rsidP="00926EDD">
      <w:pPr>
        <w:rPr>
          <w:rFonts w:asciiTheme="majorBidi" w:hAnsiTheme="majorBidi" w:cstheme="majorBidi"/>
          <w:color w:val="C00000"/>
        </w:rPr>
      </w:pPr>
      <w:r w:rsidRPr="002C293D">
        <w:rPr>
          <w:rFonts w:asciiTheme="majorBidi" w:hAnsiTheme="majorBidi" w:cstheme="majorBidi"/>
          <w:color w:val="C00000"/>
        </w:rPr>
        <w:t xml:space="preserve">Sampling is structured to capture the evolution of leadership framing across the transition windows outlined above while preserving analytic depth for rhetorical examination. </w:t>
      </w:r>
      <w:r w:rsidR="00926EDD">
        <w:rPr>
          <w:rFonts w:asciiTheme="majorBidi" w:hAnsiTheme="majorBidi" w:cstheme="majorBidi"/>
          <w:color w:val="C00000"/>
        </w:rPr>
        <w:t>As</w:t>
      </w:r>
      <w:r w:rsidRPr="002C293D">
        <w:rPr>
          <w:rFonts w:asciiTheme="majorBidi" w:hAnsiTheme="majorBidi" w:cstheme="majorBidi"/>
          <w:color w:val="C00000"/>
        </w:rPr>
        <w:t xml:space="preserve"> the study seeks to explain how leadership discourse activates organisational change, the selection of texts follows a purposive logic oriented toward sites where framing activity is most visible.</w:t>
      </w:r>
      <w:r w:rsidR="00926EDD">
        <w:rPr>
          <w:rFonts w:asciiTheme="majorBidi" w:hAnsiTheme="majorBidi" w:cstheme="majorBidi"/>
          <w:color w:val="C00000"/>
        </w:rPr>
        <w:t xml:space="preserve"> </w:t>
      </w:r>
      <w:r w:rsidRPr="002C293D">
        <w:rPr>
          <w:rFonts w:asciiTheme="majorBidi" w:hAnsiTheme="majorBidi" w:cstheme="majorBidi"/>
          <w:color w:val="C00000"/>
        </w:rPr>
        <w:t>Within each analytical phase, the corpus is organised into temporal segments that correspond with the transition windows identified in the periodisation. From these segments a structured sample of leadership-produced materials is selected for detailed analysis. Priority is given to speeches, sermons, interviews, and published writings associated with the central figures identified in the case selection. These materials are chosen because they represent the primary medium through which leaders articulated diagnostic, prognostic, and motivational frames and asserted interpretive authority.</w:t>
      </w:r>
    </w:p>
    <w:p w14:paraId="2AE6FFAD" w14:textId="3C861AFE" w:rsidR="002C293D" w:rsidRPr="002C293D" w:rsidRDefault="002C293D" w:rsidP="009C3670">
      <w:pPr>
        <w:rPr>
          <w:rFonts w:asciiTheme="majorBidi" w:hAnsiTheme="majorBidi" w:cstheme="majorBidi"/>
          <w:color w:val="C00000"/>
        </w:rPr>
      </w:pPr>
      <w:r w:rsidRPr="002C293D">
        <w:rPr>
          <w:rFonts w:asciiTheme="majorBidi" w:hAnsiTheme="majorBidi" w:cstheme="majorBidi"/>
          <w:color w:val="C00000"/>
        </w:rPr>
        <w:t xml:space="preserve">Analysis proceeds in two stages. </w:t>
      </w:r>
      <w:r w:rsidR="009C3670">
        <w:rPr>
          <w:rFonts w:asciiTheme="majorBidi" w:hAnsiTheme="majorBidi" w:cstheme="majorBidi"/>
          <w:color w:val="C00000"/>
        </w:rPr>
        <w:t xml:space="preserve">A </w:t>
      </w:r>
      <w:r w:rsidRPr="002C293D">
        <w:rPr>
          <w:rFonts w:asciiTheme="majorBidi" w:hAnsiTheme="majorBidi" w:cstheme="majorBidi"/>
          <w:color w:val="C00000"/>
        </w:rPr>
        <w:t xml:space="preserve">pilot subset of approximately thirty to fifty textual units is </w:t>
      </w:r>
      <w:r w:rsidR="009C3670">
        <w:rPr>
          <w:rFonts w:asciiTheme="majorBidi" w:hAnsiTheme="majorBidi" w:cstheme="majorBidi"/>
          <w:color w:val="C00000"/>
        </w:rPr>
        <w:t xml:space="preserve">firstly </w:t>
      </w:r>
      <w:r w:rsidRPr="002C293D">
        <w:rPr>
          <w:rFonts w:asciiTheme="majorBidi" w:hAnsiTheme="majorBidi" w:cstheme="majorBidi"/>
          <w:color w:val="C00000"/>
        </w:rPr>
        <w:t>examined within each transition window. This stage enables refinement of the coding framework developed from the theoretical model. Provisional codes are applied to the sample and adjusted through abductive reformulation and retroductive reasoning in order to ensure that the categories capture empirically observable framing patterns across different leaders and communicative settings.</w:t>
      </w:r>
      <w:r w:rsidR="009C3670">
        <w:rPr>
          <w:rFonts w:asciiTheme="majorBidi" w:hAnsiTheme="majorBidi" w:cstheme="majorBidi"/>
          <w:color w:val="C00000"/>
        </w:rPr>
        <w:t xml:space="preserve"> </w:t>
      </w:r>
      <w:r w:rsidRPr="002C293D">
        <w:rPr>
          <w:rFonts w:asciiTheme="majorBidi" w:hAnsiTheme="majorBidi" w:cstheme="majorBidi"/>
          <w:color w:val="C00000"/>
        </w:rPr>
        <w:t xml:space="preserve">Following this initial calibration, the analytical sample expands to a broader set of materials drawn from the same temporal window. The final sample typically includes between fifty and one hundred textual units per phase, although the exact number varies according to the availability and length of source material. Selection aims to represent different moments within the transition period and multiple communicative contexts, enabling identification of how frames are </w:t>
      </w:r>
      <w:r w:rsidR="005442ED">
        <w:rPr>
          <w:rFonts w:asciiTheme="majorBidi" w:hAnsiTheme="majorBidi" w:cstheme="majorBidi"/>
          <w:color w:val="C00000"/>
        </w:rPr>
        <w:t>deployed</w:t>
      </w:r>
      <w:r w:rsidRPr="002C293D">
        <w:rPr>
          <w:rFonts w:asciiTheme="majorBidi" w:hAnsiTheme="majorBidi" w:cstheme="majorBidi"/>
          <w:color w:val="C00000"/>
        </w:rPr>
        <w:t xml:space="preserve"> across time.</w:t>
      </w:r>
    </w:p>
    <w:p w14:paraId="7AEB52C1" w14:textId="77777777" w:rsidR="002C293D" w:rsidRPr="002C293D" w:rsidRDefault="002C293D" w:rsidP="002C293D">
      <w:pPr>
        <w:rPr>
          <w:rFonts w:asciiTheme="majorBidi" w:hAnsiTheme="majorBidi" w:cstheme="majorBidi"/>
          <w:color w:val="C00000"/>
        </w:rPr>
      </w:pPr>
      <w:r w:rsidRPr="002C293D">
        <w:rPr>
          <w:rFonts w:asciiTheme="majorBidi" w:hAnsiTheme="majorBidi" w:cstheme="majorBidi"/>
          <w:color w:val="C00000"/>
        </w:rPr>
        <w:t>Supplementary sources are incorporated selectively to situate leadership discourse within its organisational and political environment. Interview material, oral histories, and external commentary are coded where relevant to assess resonance and interpretive uptake, while archival and state records provide contextual evidence of mobilisation, institutional development, and structural pressures. These materials are not treated as primary units of frame analysis but serve to triangulate the discursive patterns identified in the core corpus.</w:t>
      </w:r>
    </w:p>
    <w:p w14:paraId="0AB9E1E2" w14:textId="1CE85E63" w:rsidR="00DD65F3" w:rsidRDefault="00482445" w:rsidP="00482445">
      <w:pPr>
        <w:pStyle w:val="Heading2"/>
        <w:rPr>
          <w:rFonts w:asciiTheme="majorBidi" w:hAnsiTheme="majorBidi"/>
          <w:color w:val="auto"/>
        </w:rPr>
      </w:pPr>
      <w:commentRangeStart w:id="26"/>
      <w:commentRangeStart w:id="27"/>
      <w:r w:rsidRPr="001B4D0D">
        <w:rPr>
          <w:rFonts w:asciiTheme="majorBidi" w:hAnsiTheme="majorBidi"/>
          <w:color w:val="auto"/>
        </w:rPr>
        <w:lastRenderedPageBreak/>
        <w:t>Analytical Framework</w:t>
      </w:r>
      <w:commentRangeEnd w:id="26"/>
      <w:r w:rsidR="00CE773F">
        <w:rPr>
          <w:rStyle w:val="CommentReference"/>
          <w:rFonts w:asciiTheme="majorBidi" w:hAnsiTheme="majorBidi"/>
          <w:color w:val="auto"/>
          <w:sz w:val="32"/>
          <w:szCs w:val="32"/>
        </w:rPr>
        <w:commentReference w:id="26"/>
      </w:r>
      <w:commentRangeEnd w:id="27"/>
      <w:r w:rsidR="00B503D9">
        <w:rPr>
          <w:rStyle w:val="CommentReference"/>
          <w:rFonts w:asciiTheme="majorBidi" w:hAnsiTheme="majorBidi"/>
          <w:color w:val="auto"/>
          <w:sz w:val="32"/>
          <w:szCs w:val="32"/>
        </w:rPr>
        <w:commentReference w:id="27"/>
      </w:r>
    </w:p>
    <w:p w14:paraId="648E9DA7" w14:textId="4B4ECC07" w:rsidR="006B2F72" w:rsidRPr="006B2F72" w:rsidRDefault="000B117F" w:rsidP="006B2F72">
      <w:commentRangeStart w:id="28"/>
      <w:r>
        <w:t>Operationalization</w:t>
      </w:r>
      <w:commentRangeEnd w:id="28"/>
      <w:r w:rsidRPr="006B2F72">
        <w:rPr>
          <w:rStyle w:val="CommentReference"/>
          <w:sz w:val="24"/>
          <w:szCs w:val="24"/>
        </w:rPr>
        <w:commentReference w:id="28"/>
      </w:r>
    </w:p>
    <w:p w14:paraId="57EA6257" w14:textId="23AB4693" w:rsidR="00ED5CCB" w:rsidRPr="001B4D0D" w:rsidRDefault="00163EAD" w:rsidP="00482445">
      <w:pPr>
        <w:pStyle w:val="Heading3"/>
        <w:rPr>
          <w:rFonts w:asciiTheme="majorBidi" w:hAnsiTheme="majorBidi"/>
        </w:rPr>
      </w:pPr>
      <w:commentRangeStart w:id="29"/>
      <w:r w:rsidRPr="001B4D0D">
        <w:rPr>
          <w:rFonts w:asciiTheme="majorBidi" w:hAnsiTheme="majorBidi"/>
        </w:rPr>
        <w:t>Analytical Rationale</w:t>
      </w:r>
      <w:commentRangeEnd w:id="29"/>
      <w:r w:rsidR="00CA00AC" w:rsidRPr="001B4D0D">
        <w:rPr>
          <w:rStyle w:val="CommentReference"/>
          <w:rFonts w:asciiTheme="majorBidi" w:hAnsiTheme="majorBidi"/>
          <w:sz w:val="28"/>
          <w:szCs w:val="28"/>
        </w:rPr>
        <w:commentReference w:id="29"/>
      </w:r>
    </w:p>
    <w:p w14:paraId="1DDC9DB8" w14:textId="7504BCED" w:rsidR="00564C43" w:rsidRPr="001B4D0D" w:rsidRDefault="00564C43">
      <w:pPr>
        <w:rPr>
          <w:rFonts w:asciiTheme="majorBidi" w:hAnsiTheme="majorBidi" w:cstheme="majorBidi"/>
        </w:rPr>
      </w:pPr>
    </w:p>
    <w:p w14:paraId="6BC05BB5" w14:textId="06F91D10" w:rsidR="00AB1006" w:rsidRPr="001B4D0D" w:rsidRDefault="00AB1006" w:rsidP="00AB1006">
      <w:pPr>
        <w:rPr>
          <w:rFonts w:asciiTheme="majorBidi" w:hAnsiTheme="majorBidi" w:cstheme="majorBidi"/>
        </w:rPr>
      </w:pPr>
      <w:commentRangeStart w:id="30"/>
      <w:commentRangeStart w:id="31"/>
      <w:commentRangeStart w:id="32"/>
      <w:commentRangeStart w:id="33"/>
      <w:commentRangeStart w:id="34"/>
      <w:commentRangeStart w:id="35"/>
      <w:r w:rsidRPr="001B4D0D">
        <w:rPr>
          <w:rFonts w:asciiTheme="majorBidi" w:hAnsiTheme="majorBidi" w:cstheme="majorBidi"/>
        </w:rPr>
        <w:t>Why frame analysis?</w:t>
      </w:r>
      <w:commentRangeEnd w:id="30"/>
      <w:r w:rsidR="005468FE" w:rsidRPr="001B4D0D">
        <w:rPr>
          <w:rStyle w:val="CommentReference"/>
          <w:rFonts w:asciiTheme="majorBidi" w:hAnsiTheme="majorBidi" w:cstheme="majorBidi"/>
          <w:sz w:val="24"/>
          <w:szCs w:val="24"/>
        </w:rPr>
        <w:commentReference w:id="30"/>
      </w:r>
      <w:commentRangeEnd w:id="31"/>
      <w:r w:rsidR="005A6F2D" w:rsidRPr="001B4D0D">
        <w:rPr>
          <w:rStyle w:val="CommentReference"/>
          <w:rFonts w:asciiTheme="majorBidi" w:hAnsiTheme="majorBidi" w:cstheme="majorBidi"/>
          <w:sz w:val="24"/>
          <w:szCs w:val="24"/>
        </w:rPr>
        <w:commentReference w:id="31"/>
      </w:r>
      <w:commentRangeEnd w:id="32"/>
      <w:r w:rsidR="00C72A4B" w:rsidRPr="001B4D0D">
        <w:rPr>
          <w:rStyle w:val="CommentReference"/>
          <w:rFonts w:asciiTheme="majorBidi" w:hAnsiTheme="majorBidi" w:cstheme="majorBidi"/>
          <w:sz w:val="24"/>
          <w:szCs w:val="24"/>
        </w:rPr>
        <w:commentReference w:id="32"/>
      </w:r>
      <w:commentRangeEnd w:id="33"/>
      <w:r w:rsidR="00B51429" w:rsidRPr="001B4D0D">
        <w:rPr>
          <w:rStyle w:val="CommentReference"/>
          <w:rFonts w:asciiTheme="majorBidi" w:hAnsiTheme="majorBidi" w:cstheme="majorBidi"/>
          <w:sz w:val="24"/>
          <w:szCs w:val="24"/>
        </w:rPr>
        <w:commentReference w:id="33"/>
      </w:r>
      <w:commentRangeEnd w:id="34"/>
      <w:r w:rsidR="005B5B70" w:rsidRPr="001B4D0D">
        <w:rPr>
          <w:rStyle w:val="CommentReference"/>
          <w:rFonts w:asciiTheme="majorBidi" w:hAnsiTheme="majorBidi" w:cstheme="majorBidi"/>
          <w:sz w:val="24"/>
          <w:szCs w:val="24"/>
        </w:rPr>
        <w:commentReference w:id="34"/>
      </w:r>
      <w:commentRangeEnd w:id="35"/>
      <w:r w:rsidR="00C4694C" w:rsidRPr="001B4D0D">
        <w:rPr>
          <w:rStyle w:val="CommentReference"/>
          <w:rFonts w:asciiTheme="majorBidi" w:hAnsiTheme="majorBidi" w:cstheme="majorBidi"/>
          <w:sz w:val="24"/>
          <w:szCs w:val="24"/>
        </w:rPr>
        <w:commentReference w:id="35"/>
      </w:r>
    </w:p>
    <w:p w14:paraId="2AE46076" w14:textId="64FDD334" w:rsidR="00D92A45" w:rsidRPr="001B4D0D" w:rsidRDefault="00BF4344" w:rsidP="00BF4344">
      <w:pPr>
        <w:rPr>
          <w:rFonts w:asciiTheme="majorBidi" w:hAnsiTheme="majorBidi" w:cstheme="majorBidi"/>
          <w:color w:val="C00000"/>
        </w:rPr>
      </w:pPr>
      <w:r w:rsidRPr="001B4D0D">
        <w:rPr>
          <w:rFonts w:asciiTheme="majorBidi" w:hAnsiTheme="majorBidi" w:cstheme="majorBidi"/>
          <w:color w:val="C00000"/>
        </w:rPr>
        <w:t xml:space="preserve">In light of the importance of agency, </w:t>
      </w:r>
      <w:r w:rsidR="00BF475D" w:rsidRPr="001B4D0D">
        <w:rPr>
          <w:rFonts w:asciiTheme="majorBidi" w:hAnsiTheme="majorBidi" w:cstheme="majorBidi"/>
          <w:color w:val="C00000"/>
        </w:rPr>
        <w:t xml:space="preserve">there is no need to prioritise structural theories… </w:t>
      </w:r>
    </w:p>
    <w:p w14:paraId="606008E4" w14:textId="77777777" w:rsidR="00D92A45" w:rsidRPr="001B4D0D" w:rsidRDefault="00D92A45" w:rsidP="00AB1006">
      <w:pPr>
        <w:rPr>
          <w:rFonts w:asciiTheme="majorBidi" w:hAnsiTheme="majorBidi" w:cstheme="majorBidi"/>
        </w:rPr>
      </w:pPr>
    </w:p>
    <w:p w14:paraId="008E3D5F" w14:textId="77777777" w:rsidR="00D92A45" w:rsidRPr="001B4D0D" w:rsidRDefault="00D92A45" w:rsidP="00AB1006">
      <w:pPr>
        <w:rPr>
          <w:rFonts w:asciiTheme="majorBidi" w:hAnsiTheme="majorBidi" w:cstheme="majorBidi"/>
        </w:rPr>
      </w:pPr>
    </w:p>
    <w:p w14:paraId="6B293CB1" w14:textId="77777777" w:rsidR="00D92A45" w:rsidRPr="001B4D0D" w:rsidRDefault="00D92A45" w:rsidP="00AB1006">
      <w:pPr>
        <w:rPr>
          <w:rFonts w:asciiTheme="majorBidi" w:hAnsiTheme="majorBidi" w:cstheme="majorBidi"/>
        </w:rPr>
      </w:pPr>
    </w:p>
    <w:p w14:paraId="23EC4B4D" w14:textId="7FAA24A6" w:rsidR="00AB1006" w:rsidRPr="001B4D0D" w:rsidRDefault="00AB1006" w:rsidP="00AB1006">
      <w:pPr>
        <w:rPr>
          <w:rFonts w:asciiTheme="majorBidi" w:hAnsiTheme="majorBidi" w:cstheme="majorBidi"/>
        </w:rPr>
      </w:pPr>
      <w:r w:rsidRPr="001B4D0D">
        <w:rPr>
          <w:rFonts w:asciiTheme="majorBidi" w:hAnsiTheme="majorBidi" w:cstheme="majorBidi"/>
        </w:rPr>
        <w:t>Why rhetorical criticism?</w:t>
      </w:r>
    </w:p>
    <w:p w14:paraId="65231EFC" w14:textId="77777777" w:rsidR="00D92A45" w:rsidRPr="001B4D0D" w:rsidRDefault="00D92A45" w:rsidP="00AB1006">
      <w:pPr>
        <w:rPr>
          <w:rFonts w:asciiTheme="majorBidi" w:hAnsiTheme="majorBidi" w:cstheme="majorBidi"/>
        </w:rPr>
      </w:pPr>
    </w:p>
    <w:p w14:paraId="34CA0B48" w14:textId="77777777" w:rsidR="00D92A45" w:rsidRPr="001B4D0D" w:rsidRDefault="00D92A45" w:rsidP="00D92A45">
      <w:pPr>
        <w:spacing w:line="276" w:lineRule="auto"/>
        <w:rPr>
          <w:rFonts w:asciiTheme="majorBidi" w:hAnsiTheme="majorBidi" w:cstheme="majorBidi"/>
          <w:color w:val="C00000"/>
        </w:rPr>
      </w:pPr>
      <w:r w:rsidRPr="001B4D0D">
        <w:rPr>
          <w:rFonts w:asciiTheme="majorBidi" w:hAnsiTheme="majorBidi" w:cstheme="majorBidi"/>
          <w:color w:val="C00000"/>
        </w:rPr>
        <w:t xml:space="preserve">As Black (1978) recognised, rhetoric is all about influencing audiences, with a focus on the speaker’s intent. </w:t>
      </w:r>
      <w:r w:rsidRPr="001B4D0D">
        <w:rPr>
          <w:rFonts w:asciiTheme="majorBidi" w:hAnsiTheme="majorBidi" w:cstheme="majorBidi"/>
          <w:color w:val="C00000"/>
        </w:rPr>
        <w:tab/>
        <w:t>Understanding this, in tandem with the discussed significance of agential explanations, highlights the necessity of exploring such dynamics when taking an approach that analyses meaning-making. Equally, charismatic leadership centres on oratorical influence, requiring analyses of their impact to focus on what they are saying, and how it is expressed.</w:t>
      </w:r>
    </w:p>
    <w:p w14:paraId="3B03366B" w14:textId="77777777" w:rsidR="00D92A45" w:rsidRPr="001B4D0D" w:rsidRDefault="00D92A45" w:rsidP="00AB1006">
      <w:pPr>
        <w:rPr>
          <w:rFonts w:asciiTheme="majorBidi" w:hAnsiTheme="majorBidi" w:cstheme="majorBidi"/>
        </w:rPr>
      </w:pPr>
    </w:p>
    <w:p w14:paraId="10E718D0" w14:textId="77777777" w:rsidR="00D92A45" w:rsidRPr="001B4D0D" w:rsidRDefault="00D92A45" w:rsidP="00AB1006">
      <w:pPr>
        <w:rPr>
          <w:rFonts w:asciiTheme="majorBidi" w:hAnsiTheme="majorBidi" w:cstheme="majorBidi"/>
        </w:rPr>
      </w:pPr>
    </w:p>
    <w:p w14:paraId="3A2B9398" w14:textId="77777777" w:rsidR="00D92A45" w:rsidRPr="001B4D0D" w:rsidRDefault="00D92A45" w:rsidP="00AB1006">
      <w:pPr>
        <w:rPr>
          <w:rFonts w:asciiTheme="majorBidi" w:hAnsiTheme="majorBidi" w:cstheme="majorBidi"/>
        </w:rPr>
      </w:pPr>
    </w:p>
    <w:p w14:paraId="4DFE6A74" w14:textId="705172B3" w:rsidR="00AB1006" w:rsidRPr="001B4D0D" w:rsidRDefault="00AB1006" w:rsidP="00AB1006">
      <w:pPr>
        <w:rPr>
          <w:rFonts w:asciiTheme="majorBidi" w:hAnsiTheme="majorBidi" w:cstheme="majorBidi"/>
        </w:rPr>
      </w:pPr>
      <w:r w:rsidRPr="001B4D0D">
        <w:rPr>
          <w:rFonts w:asciiTheme="majorBidi" w:hAnsiTheme="majorBidi" w:cstheme="majorBidi"/>
        </w:rPr>
        <w:t xml:space="preserve">Why </w:t>
      </w:r>
      <w:commentRangeStart w:id="36"/>
      <w:commentRangeStart w:id="37"/>
      <w:r w:rsidRPr="001B4D0D">
        <w:rPr>
          <w:rFonts w:asciiTheme="majorBidi" w:hAnsiTheme="majorBidi" w:cstheme="majorBidi"/>
        </w:rPr>
        <w:t>both</w:t>
      </w:r>
      <w:commentRangeEnd w:id="36"/>
      <w:r w:rsidR="00125BC0" w:rsidRPr="001B4D0D">
        <w:rPr>
          <w:rStyle w:val="CommentReference"/>
          <w:rFonts w:asciiTheme="majorBidi" w:hAnsiTheme="majorBidi" w:cstheme="majorBidi"/>
          <w:sz w:val="24"/>
          <w:szCs w:val="24"/>
        </w:rPr>
        <w:commentReference w:id="36"/>
      </w:r>
      <w:commentRangeEnd w:id="37"/>
      <w:r w:rsidR="004304B9" w:rsidRPr="001B4D0D">
        <w:rPr>
          <w:rStyle w:val="CommentReference"/>
          <w:rFonts w:asciiTheme="majorBidi" w:hAnsiTheme="majorBidi" w:cstheme="majorBidi"/>
          <w:sz w:val="24"/>
          <w:szCs w:val="24"/>
        </w:rPr>
        <w:commentReference w:id="37"/>
      </w:r>
      <w:r w:rsidRPr="001B4D0D">
        <w:rPr>
          <w:rFonts w:asciiTheme="majorBidi" w:hAnsiTheme="majorBidi" w:cstheme="majorBidi"/>
        </w:rPr>
        <w:t>?</w:t>
      </w:r>
    </w:p>
    <w:p w14:paraId="36A40C48" w14:textId="77777777" w:rsidR="00D92A45" w:rsidRPr="001B4D0D" w:rsidRDefault="00D92A45" w:rsidP="00AB1006">
      <w:pPr>
        <w:rPr>
          <w:rFonts w:asciiTheme="majorBidi" w:hAnsiTheme="majorBidi" w:cstheme="majorBidi"/>
        </w:rPr>
      </w:pPr>
    </w:p>
    <w:p w14:paraId="5B05D992" w14:textId="77777777" w:rsidR="00D92A45" w:rsidRPr="001B4D0D" w:rsidRDefault="00D92A45" w:rsidP="00D92A45">
      <w:pPr>
        <w:spacing w:line="276" w:lineRule="auto"/>
        <w:rPr>
          <w:rFonts w:asciiTheme="majorBidi" w:hAnsiTheme="majorBidi" w:cstheme="majorBidi"/>
          <w:color w:val="C00000"/>
        </w:rPr>
      </w:pPr>
      <w:r w:rsidRPr="001B4D0D">
        <w:rPr>
          <w:rFonts w:asciiTheme="majorBidi" w:hAnsiTheme="majorBidi" w:cstheme="majorBidi"/>
          <w:color w:val="C00000"/>
        </w:rPr>
        <w:t>To study charismatic leadership within social movement settings necessitates an exploration and understanding of the rhetoric and frames used. The often-perceived binary between style and substance has been shown to be not only reductive but ultimately unhelpful in fully grasping the power of charismatic rhetoric. Rather, rhetorical effectiveness emerges from how a message is delivered, and what it conveys, as well as the relational dynamics in terms of how it is received and interpreted by the relevant audiences. In contexts without institutional backing where authority is already partially granted, charisma cannot be reduced to stylistic oration; instead, it must be constructed through rhetorically charged narratives. The speaker’s charisma becomes intelligible not in isolation but through their capacity to frame grievances and channel emotions in ways that make mobilisation both plausible and necessary.</w:t>
      </w:r>
    </w:p>
    <w:p w14:paraId="0A789B45" w14:textId="77777777" w:rsidR="00D92A45" w:rsidRPr="001B4D0D" w:rsidRDefault="00D92A45" w:rsidP="00D92A45">
      <w:pPr>
        <w:spacing w:line="276" w:lineRule="auto"/>
        <w:rPr>
          <w:rFonts w:asciiTheme="majorBidi" w:hAnsiTheme="majorBidi" w:cstheme="majorBidi"/>
          <w:color w:val="C00000"/>
        </w:rPr>
      </w:pPr>
      <w:r w:rsidRPr="001B4D0D">
        <w:rPr>
          <w:rFonts w:asciiTheme="majorBidi" w:hAnsiTheme="majorBidi" w:cstheme="majorBidi"/>
          <w:color w:val="C00000"/>
        </w:rPr>
        <w:t xml:space="preserve">Frame analysis and rhetorical criticism, when brought into dialogue, offer a more comprehensive understanding of how leaders sustain their influence. Frames are rhetorically </w:t>
      </w:r>
      <w:r w:rsidRPr="001B4D0D">
        <w:rPr>
          <w:rFonts w:asciiTheme="majorBidi" w:hAnsiTheme="majorBidi" w:cstheme="majorBidi"/>
          <w:color w:val="C00000"/>
        </w:rPr>
        <w:lastRenderedPageBreak/>
        <w:t>constituted and strategically deployed as an interpretative approach to grievances beyond just reflections of reality. It is through the power of a leader’s rhetoric that they can engage in aligning individuals beyond the directly affected group with a movement’s interpretive framework. Despite the ideological aesthetics of it, rhetoric shapes meaning as a structuring force, subsequently generating emotional resonance. Audience reception, in this context, actively participates in the co-creation of charismatic authority.</w:t>
      </w:r>
    </w:p>
    <w:p w14:paraId="4FE968C0" w14:textId="77777777" w:rsidR="00D92A45" w:rsidRPr="001B4D0D" w:rsidRDefault="00D92A45" w:rsidP="00D92A45">
      <w:pPr>
        <w:spacing w:line="276" w:lineRule="auto"/>
        <w:rPr>
          <w:rFonts w:asciiTheme="majorBidi" w:hAnsiTheme="majorBidi" w:cstheme="majorBidi"/>
          <w:color w:val="C00000"/>
        </w:rPr>
      </w:pPr>
      <w:r w:rsidRPr="001B4D0D">
        <w:rPr>
          <w:rFonts w:asciiTheme="majorBidi" w:hAnsiTheme="majorBidi" w:cstheme="majorBidi"/>
          <w:color w:val="C00000"/>
        </w:rPr>
        <w:t>((((((((((((FRANCOZI VICARI))))))))))))))))</w:t>
      </w:r>
    </w:p>
    <w:p w14:paraId="486480EA" w14:textId="77777777" w:rsidR="00D92A45" w:rsidRPr="001B4D0D" w:rsidRDefault="00D92A45" w:rsidP="00D92A45">
      <w:pPr>
        <w:spacing w:line="276" w:lineRule="auto"/>
        <w:rPr>
          <w:rFonts w:asciiTheme="majorBidi" w:hAnsiTheme="majorBidi" w:cstheme="majorBidi"/>
          <w:color w:val="C00000"/>
        </w:rPr>
      </w:pPr>
      <w:r w:rsidRPr="001B4D0D">
        <w:rPr>
          <w:rFonts w:asciiTheme="majorBidi" w:hAnsiTheme="majorBidi" w:cstheme="majorBidi"/>
          <w:color w:val="C00000"/>
        </w:rPr>
        <w:t>The convergence of these frameworks provides a richer analytical methodology with which to understand the mechanisms of mobilisation. It acknowledges the symbolic and emotional appeals of leaders and also the strategic crafting of frames that make such appeals resonant. It recognises that leaders can take advantage of, or be constrained by, the political opportunity structure. Together, rhetorical criticism and frame analysis shine light on the ideological work required to transform a speaker into a charismatic figure, and a grievance into a cause, combined with the performative and interpretive aspects.</w:t>
      </w:r>
    </w:p>
    <w:p w14:paraId="52B271D0" w14:textId="77777777" w:rsidR="00D92A45" w:rsidRPr="001B4D0D" w:rsidRDefault="00D92A45" w:rsidP="00D92A45">
      <w:pPr>
        <w:spacing w:line="276" w:lineRule="auto"/>
        <w:rPr>
          <w:rFonts w:asciiTheme="majorBidi" w:hAnsiTheme="majorBidi" w:cstheme="majorBidi"/>
        </w:rPr>
      </w:pPr>
    </w:p>
    <w:p w14:paraId="22C52C7B" w14:textId="77777777" w:rsidR="00D92A45" w:rsidRPr="001B4D0D" w:rsidRDefault="00D92A45" w:rsidP="00D92A45">
      <w:pPr>
        <w:rPr>
          <w:rFonts w:asciiTheme="majorBidi" w:hAnsiTheme="majorBidi" w:cstheme="majorBidi"/>
        </w:rPr>
      </w:pPr>
    </w:p>
    <w:p w14:paraId="01481E17" w14:textId="77777777" w:rsidR="00D92A45" w:rsidRPr="001B4D0D" w:rsidRDefault="00D92A45" w:rsidP="00D92A45">
      <w:pPr>
        <w:rPr>
          <w:rFonts w:asciiTheme="majorBidi" w:hAnsiTheme="majorBidi" w:cstheme="majorBidi"/>
          <w:color w:val="C00000"/>
        </w:rPr>
      </w:pPr>
      <w:r w:rsidRPr="001B4D0D">
        <w:rPr>
          <w:rFonts w:asciiTheme="majorBidi" w:hAnsiTheme="majorBidi" w:cstheme="majorBidi"/>
          <w:color w:val="C00000"/>
        </w:rPr>
        <w:t xml:space="preserve">In approaching the analysis of evolving frames in leadership transitions within social movements, and corresponding patterns of mobilisation, a complementary methodology that prioritises frame analysis while treating rhetorical criticism as a supplementary lens offers a nuanced understanding of how language and meaning are constructed. </w:t>
      </w:r>
    </w:p>
    <w:p w14:paraId="6C2ED09C" w14:textId="77777777" w:rsidR="00D92A45" w:rsidRDefault="00D92A45" w:rsidP="00AB1006">
      <w:pPr>
        <w:rPr>
          <w:rFonts w:asciiTheme="majorBidi" w:hAnsiTheme="majorBidi" w:cstheme="majorBidi"/>
        </w:rPr>
      </w:pPr>
    </w:p>
    <w:p w14:paraId="204F50B1" w14:textId="77777777" w:rsidR="00DF5FC6" w:rsidRDefault="00DF5FC6" w:rsidP="00AB1006">
      <w:pPr>
        <w:rPr>
          <w:rFonts w:asciiTheme="majorBidi" w:hAnsiTheme="majorBidi" w:cstheme="majorBidi"/>
        </w:rPr>
      </w:pPr>
    </w:p>
    <w:p w14:paraId="6BFEB1DF" w14:textId="03B92964" w:rsidR="00DF5FC6" w:rsidRDefault="00DF5FC6" w:rsidP="00AB1006">
      <w:pPr>
        <w:rPr>
          <w:rFonts w:asciiTheme="majorBidi" w:hAnsiTheme="majorBidi" w:cstheme="majorBidi"/>
        </w:rPr>
      </w:pPr>
      <w:commentRangeStart w:id="38"/>
      <w:r>
        <w:rPr>
          <w:rFonts w:asciiTheme="majorBidi" w:hAnsiTheme="majorBidi" w:cstheme="majorBidi"/>
        </w:rPr>
        <w:t>Resonance/Receptio</w:t>
      </w:r>
      <w:r w:rsidR="00526EB3">
        <w:rPr>
          <w:rFonts w:asciiTheme="majorBidi" w:hAnsiTheme="majorBidi" w:cstheme="majorBidi"/>
        </w:rPr>
        <w:t>n Analysis</w:t>
      </w:r>
      <w:commentRangeEnd w:id="38"/>
      <w:r w:rsidR="00526EB3">
        <w:rPr>
          <w:rStyle w:val="CommentReference"/>
          <w:rFonts w:asciiTheme="majorBidi" w:hAnsiTheme="majorBidi" w:cstheme="majorBidi"/>
          <w:sz w:val="24"/>
          <w:szCs w:val="24"/>
        </w:rPr>
        <w:commentReference w:id="38"/>
      </w:r>
    </w:p>
    <w:p w14:paraId="3D079AF1" w14:textId="77777777" w:rsidR="00DF5FC6" w:rsidRDefault="00DF5FC6" w:rsidP="00AB1006">
      <w:pPr>
        <w:rPr>
          <w:rFonts w:asciiTheme="majorBidi" w:hAnsiTheme="majorBidi" w:cstheme="majorBidi"/>
        </w:rPr>
      </w:pPr>
    </w:p>
    <w:p w14:paraId="2C8D2645" w14:textId="77777777" w:rsidR="00DF5FC6" w:rsidRPr="001B4D0D" w:rsidRDefault="00DF5FC6" w:rsidP="00AB1006">
      <w:pPr>
        <w:rPr>
          <w:rFonts w:asciiTheme="majorBidi" w:hAnsiTheme="majorBidi" w:cstheme="majorBidi"/>
        </w:rPr>
      </w:pPr>
    </w:p>
    <w:p w14:paraId="5051A268" w14:textId="6F8C8FE8" w:rsidR="00CA7464" w:rsidRPr="001B4D0D" w:rsidRDefault="00CA7464" w:rsidP="00AB1006">
      <w:pPr>
        <w:rPr>
          <w:rFonts w:asciiTheme="majorBidi" w:hAnsiTheme="majorBidi" w:cstheme="majorBidi"/>
        </w:rPr>
      </w:pPr>
      <w:r w:rsidRPr="001B4D0D">
        <w:rPr>
          <w:rFonts w:asciiTheme="majorBidi" w:hAnsiTheme="majorBidi" w:cstheme="majorBidi"/>
        </w:rPr>
        <w:t xml:space="preserve">Why </w:t>
      </w:r>
      <w:commentRangeStart w:id="39"/>
      <w:r w:rsidRPr="001B4D0D">
        <w:rPr>
          <w:rFonts w:asciiTheme="majorBidi" w:hAnsiTheme="majorBidi" w:cstheme="majorBidi"/>
        </w:rPr>
        <w:t>CDA</w:t>
      </w:r>
      <w:commentRangeEnd w:id="39"/>
      <w:r w:rsidR="008D4FAE" w:rsidRPr="001B4D0D">
        <w:rPr>
          <w:rStyle w:val="CommentReference"/>
          <w:rFonts w:asciiTheme="majorBidi" w:hAnsiTheme="majorBidi" w:cstheme="majorBidi"/>
          <w:sz w:val="24"/>
          <w:szCs w:val="24"/>
        </w:rPr>
        <w:commentReference w:id="39"/>
      </w:r>
      <w:r w:rsidRPr="001B4D0D">
        <w:rPr>
          <w:rFonts w:asciiTheme="majorBidi" w:hAnsiTheme="majorBidi" w:cstheme="majorBidi"/>
        </w:rPr>
        <w:t>?</w:t>
      </w:r>
    </w:p>
    <w:p w14:paraId="1A1CF44A" w14:textId="77777777" w:rsidR="00CA7464" w:rsidRPr="001B4D0D" w:rsidRDefault="00CA7464" w:rsidP="00AB1006">
      <w:pPr>
        <w:rPr>
          <w:rFonts w:asciiTheme="majorBidi" w:hAnsiTheme="majorBidi" w:cstheme="majorBidi"/>
        </w:rPr>
      </w:pPr>
    </w:p>
    <w:p w14:paraId="77698F53" w14:textId="77777777" w:rsidR="00F679D8" w:rsidRPr="001B4D0D" w:rsidRDefault="00F679D8" w:rsidP="00F679D8">
      <w:pPr>
        <w:rPr>
          <w:rFonts w:asciiTheme="majorBidi" w:hAnsiTheme="majorBidi" w:cstheme="majorBidi"/>
          <w:color w:val="C00000"/>
        </w:rPr>
      </w:pPr>
    </w:p>
    <w:p w14:paraId="27AC5C9D" w14:textId="77777777" w:rsidR="00F679D8" w:rsidRPr="001B4D0D" w:rsidRDefault="00F679D8" w:rsidP="00F679D8">
      <w:pPr>
        <w:rPr>
          <w:rFonts w:asciiTheme="majorBidi" w:hAnsiTheme="majorBidi" w:cstheme="majorBidi"/>
          <w:color w:val="C00000"/>
        </w:rPr>
      </w:pPr>
    </w:p>
    <w:p w14:paraId="1A69B773" w14:textId="77777777" w:rsidR="00F679D8" w:rsidRPr="001B4D0D" w:rsidRDefault="00F679D8" w:rsidP="00F679D8">
      <w:pPr>
        <w:rPr>
          <w:rFonts w:asciiTheme="majorBidi" w:hAnsiTheme="majorBidi" w:cstheme="majorBidi"/>
          <w:color w:val="C00000"/>
        </w:rPr>
      </w:pPr>
    </w:p>
    <w:p w14:paraId="25CF5DF3" w14:textId="77777777" w:rsidR="00F679D8" w:rsidRPr="001B4D0D" w:rsidRDefault="00F679D8" w:rsidP="00F679D8">
      <w:pPr>
        <w:rPr>
          <w:rFonts w:asciiTheme="majorBidi" w:hAnsiTheme="majorBidi" w:cstheme="majorBidi"/>
          <w:u w:val="single"/>
        </w:rPr>
      </w:pPr>
    </w:p>
    <w:p w14:paraId="425C7663" w14:textId="77777777" w:rsidR="00F679D8" w:rsidRPr="001B4D0D" w:rsidRDefault="00F679D8">
      <w:pPr>
        <w:rPr>
          <w:rFonts w:asciiTheme="majorBidi" w:eastAsiaTheme="majorEastAsia" w:hAnsiTheme="majorBidi" w:cstheme="majorBidi"/>
          <w:color w:val="0F4761" w:themeColor="accent1" w:themeShade="BF"/>
          <w:sz w:val="28"/>
          <w:szCs w:val="28"/>
        </w:rPr>
      </w:pPr>
      <w:r w:rsidRPr="001B4D0D">
        <w:rPr>
          <w:rFonts w:asciiTheme="majorBidi" w:hAnsiTheme="majorBidi" w:cstheme="majorBidi"/>
        </w:rPr>
        <w:br w:type="page"/>
      </w:r>
    </w:p>
    <w:p w14:paraId="4DAF847A" w14:textId="1EDDE9BB" w:rsidR="00163EAD" w:rsidRPr="001B4D0D" w:rsidRDefault="00163EAD" w:rsidP="00482445">
      <w:pPr>
        <w:pStyle w:val="Heading3"/>
        <w:rPr>
          <w:rFonts w:asciiTheme="majorBidi" w:hAnsiTheme="majorBidi"/>
        </w:rPr>
      </w:pPr>
      <w:commentRangeStart w:id="40"/>
      <w:commentRangeStart w:id="41"/>
      <w:r w:rsidRPr="001B4D0D">
        <w:rPr>
          <w:rFonts w:asciiTheme="majorBidi" w:hAnsiTheme="majorBidi"/>
        </w:rPr>
        <w:lastRenderedPageBreak/>
        <w:t>Analytical Process</w:t>
      </w:r>
      <w:commentRangeEnd w:id="40"/>
      <w:r w:rsidR="001866D9" w:rsidRPr="001B4D0D">
        <w:rPr>
          <w:rStyle w:val="CommentReference"/>
          <w:rFonts w:asciiTheme="majorBidi" w:hAnsiTheme="majorBidi"/>
          <w:sz w:val="28"/>
          <w:szCs w:val="28"/>
        </w:rPr>
        <w:commentReference w:id="40"/>
      </w:r>
      <w:commentRangeEnd w:id="41"/>
      <w:r w:rsidR="004A1ABF" w:rsidRPr="001B4D0D">
        <w:rPr>
          <w:rStyle w:val="CommentReference"/>
          <w:rFonts w:asciiTheme="majorBidi" w:hAnsiTheme="majorBidi"/>
          <w:sz w:val="28"/>
          <w:szCs w:val="28"/>
        </w:rPr>
        <w:commentReference w:id="41"/>
      </w:r>
    </w:p>
    <w:p w14:paraId="3503CAD3" w14:textId="4AC48820" w:rsidR="00163EAD" w:rsidRPr="001B4D0D" w:rsidRDefault="00895F37" w:rsidP="00DD65F3">
      <w:pPr>
        <w:rPr>
          <w:rFonts w:asciiTheme="majorBidi" w:hAnsiTheme="majorBidi" w:cstheme="majorBidi"/>
        </w:rPr>
      </w:pPr>
      <w:r w:rsidRPr="001B4D0D">
        <w:rPr>
          <w:rFonts w:asciiTheme="majorBidi" w:hAnsiTheme="majorBidi" w:cstheme="majorBidi"/>
        </w:rPr>
        <w:t>Workflow…</w:t>
      </w:r>
    </w:p>
    <w:p w14:paraId="181B5E51" w14:textId="3E754C7A" w:rsidR="00DD65F3" w:rsidRPr="001B4D0D" w:rsidRDefault="00DD65F3" w:rsidP="00DD65F3">
      <w:pPr>
        <w:rPr>
          <w:rFonts w:asciiTheme="majorBidi" w:hAnsiTheme="majorBidi" w:cstheme="majorBidi"/>
        </w:rPr>
      </w:pPr>
      <w:commentRangeStart w:id="42"/>
      <w:r w:rsidRPr="001B4D0D">
        <w:rPr>
          <w:rFonts w:asciiTheme="majorBidi" w:hAnsiTheme="majorBidi" w:cstheme="majorBidi"/>
        </w:rPr>
        <w:t>Rhetorical and discursive materials will be analysed using a hybrid approach that places frame analysis at the centre of interpretation. Frames will be identified according to Snow and Benford’s typology of diagnostic (problem definition), prognostic (solution articulation), and motivational (call to action) functions, with attention to how these elements shift over time or across leadership configurations. The analysis will also attend to frame alignment processes such as frame amplification, bridging, or extension, especially during periods of transition or ideological repositioning.</w:t>
      </w:r>
      <w:commentRangeEnd w:id="42"/>
      <w:r w:rsidRPr="001B4D0D">
        <w:rPr>
          <w:rStyle w:val="CommentReference"/>
          <w:rFonts w:asciiTheme="majorBidi" w:hAnsiTheme="majorBidi" w:cstheme="majorBidi"/>
          <w:sz w:val="24"/>
          <w:szCs w:val="24"/>
        </w:rPr>
        <w:commentReference w:id="42"/>
      </w:r>
    </w:p>
    <w:p w14:paraId="6CFDFA47" w14:textId="77777777" w:rsidR="00DD65F3" w:rsidRPr="001B4D0D" w:rsidRDefault="00DD65F3" w:rsidP="00DD65F3">
      <w:pPr>
        <w:rPr>
          <w:rFonts w:asciiTheme="majorBidi" w:hAnsiTheme="majorBidi" w:cstheme="majorBidi"/>
        </w:rPr>
      </w:pPr>
      <w:r w:rsidRPr="001B4D0D">
        <w:rPr>
          <w:rFonts w:asciiTheme="majorBidi" w:hAnsiTheme="majorBidi" w:cstheme="majorBidi"/>
        </w:rPr>
        <w:t>Rhetorical criticism will support this analysis by identifying recurring narrative devices, appeals to ethos, pathos, and logos, and symbolic constructions that contribute to frame resonance or movement cohesion. This includes analysis of tone, repetition, metaphor, performative style, and reference to religious or historical traditions. Critical discourse analysis may be used selectively to interrogate power-laden language, sedimented ideologies, or broader institutional discourses that underpin leadership rhetoric.</w:t>
      </w:r>
    </w:p>
    <w:p w14:paraId="6677601D" w14:textId="77777777" w:rsidR="00DD65F3" w:rsidRPr="001B4D0D" w:rsidRDefault="00DD65F3" w:rsidP="00DD65F3">
      <w:pPr>
        <w:rPr>
          <w:rFonts w:asciiTheme="majorBidi" w:hAnsiTheme="majorBidi" w:cstheme="majorBidi"/>
        </w:rPr>
      </w:pPr>
      <w:r w:rsidRPr="001B4D0D">
        <w:rPr>
          <w:rFonts w:asciiTheme="majorBidi" w:hAnsiTheme="majorBidi" w:cstheme="majorBidi"/>
        </w:rPr>
        <w:t>In practical terms, analysis will begin with close reading and annotation of selected texts, with thematic coding guided by both theoretical categories and inductive observations. If a digital corpus is constructed, qualitative data analysis software such as NVivo or Atlas.ti may be used to support coding and cross-textual comparison. This would allow for pattern detection across time, including shifts in lexicon, symbolic emphasis, or discursive framing.</w:t>
      </w:r>
    </w:p>
    <w:p w14:paraId="0CAF2F26" w14:textId="35F76206" w:rsidR="00E00DD8" w:rsidRDefault="00DD65F3" w:rsidP="00DD65F3">
      <w:pPr>
        <w:rPr>
          <w:rFonts w:asciiTheme="majorBidi" w:hAnsiTheme="majorBidi" w:cstheme="majorBidi"/>
        </w:rPr>
      </w:pPr>
      <w:r w:rsidRPr="001B4D0D">
        <w:rPr>
          <w:rFonts w:asciiTheme="majorBidi" w:hAnsiTheme="majorBidi" w:cstheme="majorBidi"/>
        </w:rPr>
        <w:t>To avoid fragmentation, analytical approaches will not be treated as separate phases but as mutually informing strategies. Frame analysis will serve as the central scaffolding, with rhetorical and discursive tools used to flesh out how frames are constructed, stylised, and strategically deployed. This integration reflects the project's broader intellectual commitment to studying frame evolution as a purposive, situated, and audience-aware process.</w:t>
      </w:r>
    </w:p>
    <w:p w14:paraId="7CC2320B" w14:textId="78FCD4EF" w:rsidR="00B61169" w:rsidRPr="001B4D0D" w:rsidRDefault="00B61169" w:rsidP="00B61169">
      <w:pPr>
        <w:pStyle w:val="Heading4"/>
      </w:pPr>
      <w:commentRangeStart w:id="43"/>
      <w:r>
        <w:t>Process Tracing</w:t>
      </w:r>
      <w:commentRangeEnd w:id="43"/>
      <w:r w:rsidRPr="001B4D0D">
        <w:rPr>
          <w:rStyle w:val="CommentReference"/>
          <w:sz w:val="24"/>
          <w:szCs w:val="24"/>
        </w:rPr>
        <w:commentReference w:id="43"/>
      </w:r>
    </w:p>
    <w:p w14:paraId="7C19FDAB" w14:textId="77777777" w:rsidR="008267CE" w:rsidRDefault="008267CE">
      <w:pPr>
        <w:rPr>
          <w:rFonts w:asciiTheme="majorBidi" w:hAnsiTheme="majorBidi" w:cstheme="majorBidi"/>
        </w:rPr>
      </w:pPr>
    </w:p>
    <w:p w14:paraId="0C257087" w14:textId="77777777" w:rsidR="008267CE" w:rsidRPr="006D3065" w:rsidRDefault="008267CE" w:rsidP="00F04D01">
      <w:pPr>
        <w:pStyle w:val="Heading3"/>
      </w:pPr>
      <w:commentRangeStart w:id="44"/>
      <w:r w:rsidRPr="006D3065">
        <w:t>Triangulation and Causal Inference</w:t>
      </w:r>
      <w:commentRangeEnd w:id="44"/>
      <w:r w:rsidR="00F04D01" w:rsidRPr="006D3065">
        <w:rPr>
          <w:rStyle w:val="CommentReference"/>
          <w:sz w:val="28"/>
          <w:szCs w:val="28"/>
        </w:rPr>
        <w:commentReference w:id="44"/>
      </w:r>
    </w:p>
    <w:p w14:paraId="6E784DBA" w14:textId="48583C9C" w:rsidR="00E00DD8" w:rsidRPr="001B4D0D" w:rsidRDefault="00E00DD8">
      <w:pPr>
        <w:rPr>
          <w:rFonts w:asciiTheme="majorBidi" w:hAnsiTheme="majorBidi" w:cstheme="majorBidi"/>
        </w:rPr>
      </w:pPr>
      <w:r w:rsidRPr="001B4D0D">
        <w:rPr>
          <w:rFonts w:asciiTheme="majorBidi" w:hAnsiTheme="majorBidi" w:cstheme="majorBidi"/>
        </w:rPr>
        <w:br w:type="page"/>
      </w:r>
    </w:p>
    <w:p w14:paraId="1A5124A4" w14:textId="300050CB" w:rsidR="00DD65F3" w:rsidRPr="001B4D0D" w:rsidRDefault="00E00DD8" w:rsidP="00E00DD8">
      <w:pPr>
        <w:pStyle w:val="Heading2"/>
        <w:rPr>
          <w:rFonts w:asciiTheme="majorBidi" w:hAnsiTheme="majorBidi"/>
          <w:color w:val="auto"/>
        </w:rPr>
      </w:pPr>
      <w:commentRangeStart w:id="45"/>
      <w:r w:rsidRPr="001B4D0D">
        <w:rPr>
          <w:rFonts w:asciiTheme="majorBidi" w:hAnsiTheme="majorBidi"/>
          <w:color w:val="auto"/>
        </w:rPr>
        <w:lastRenderedPageBreak/>
        <w:t xml:space="preserve">Ethical </w:t>
      </w:r>
      <w:commentRangeEnd w:id="45"/>
      <w:r w:rsidR="003F2E73" w:rsidRPr="001B4D0D">
        <w:rPr>
          <w:rStyle w:val="CommentReference"/>
          <w:rFonts w:asciiTheme="majorBidi" w:hAnsiTheme="majorBidi"/>
          <w:color w:val="auto"/>
          <w:sz w:val="32"/>
          <w:szCs w:val="32"/>
        </w:rPr>
        <w:commentReference w:id="45"/>
      </w:r>
      <w:r w:rsidRPr="001B4D0D">
        <w:rPr>
          <w:rFonts w:asciiTheme="majorBidi" w:hAnsiTheme="majorBidi"/>
          <w:color w:val="auto"/>
        </w:rPr>
        <w:t>Considerations</w:t>
      </w:r>
    </w:p>
    <w:p w14:paraId="580C5F1E" w14:textId="77777777" w:rsidR="00364103" w:rsidRPr="00364103" w:rsidRDefault="00364103" w:rsidP="00751F78">
      <w:pPr>
        <w:spacing w:line="360" w:lineRule="auto"/>
        <w:jc w:val="both"/>
        <w:rPr>
          <w:rFonts w:asciiTheme="majorBidi" w:hAnsiTheme="majorBidi" w:cstheme="majorBidi"/>
          <w:color w:val="C00000"/>
        </w:rPr>
      </w:pPr>
      <w:r w:rsidRPr="00364103">
        <w:rPr>
          <w:rFonts w:asciiTheme="majorBidi" w:hAnsiTheme="majorBidi" w:cstheme="majorBidi"/>
          <w:color w:val="C00000"/>
        </w:rPr>
        <w:t>This research has been designed in accordance with the ethical guidelines of King’s College London and has undergone review by the relevant Research Ethics Sub-Committee (RESC). The project was classified as higher risk owing to the sensitive nature of the research topic and the historical marginalisation of the group under study.</w:t>
      </w:r>
    </w:p>
    <w:p w14:paraId="6DA9E1E1" w14:textId="3B455D7A" w:rsidR="00364103" w:rsidRPr="00364103" w:rsidRDefault="00364103" w:rsidP="00F636D4">
      <w:pPr>
        <w:pStyle w:val="Heading3"/>
      </w:pPr>
      <w:r w:rsidRPr="00364103">
        <w:t>Informed Consent</w:t>
      </w:r>
    </w:p>
    <w:p w14:paraId="294B68BB" w14:textId="04F28477" w:rsidR="00364103" w:rsidRPr="00364103" w:rsidRDefault="00364103" w:rsidP="00751F78">
      <w:pPr>
        <w:spacing w:line="360" w:lineRule="auto"/>
        <w:jc w:val="both"/>
        <w:rPr>
          <w:rFonts w:asciiTheme="majorBidi" w:hAnsiTheme="majorBidi" w:cstheme="majorBidi"/>
          <w:color w:val="C00000"/>
        </w:rPr>
      </w:pPr>
      <w:r w:rsidRPr="00364103">
        <w:rPr>
          <w:rFonts w:asciiTheme="majorBidi" w:hAnsiTheme="majorBidi" w:cstheme="majorBidi"/>
          <w:color w:val="C00000"/>
        </w:rPr>
        <w:t>Informed consent is approached as an ongoing proces</w:t>
      </w:r>
      <w:r w:rsidR="00BA0BF7">
        <w:rPr>
          <w:rFonts w:asciiTheme="majorBidi" w:hAnsiTheme="majorBidi" w:cstheme="majorBidi"/>
          <w:color w:val="C00000"/>
        </w:rPr>
        <w:t>s</w:t>
      </w:r>
      <w:r w:rsidRPr="00364103">
        <w:rPr>
          <w:rFonts w:asciiTheme="majorBidi" w:hAnsiTheme="majorBidi" w:cstheme="majorBidi"/>
          <w:color w:val="C00000"/>
        </w:rPr>
        <w:t>. Participants receive an information sheet in advance that outlines the aims of the study, the voluntary basis of participation, and the right to withdraw at any stage without consequence.</w:t>
      </w:r>
    </w:p>
    <w:p w14:paraId="4CFD884D" w14:textId="0F327655" w:rsidR="00364103" w:rsidRPr="00364103" w:rsidRDefault="00364103" w:rsidP="00751F78">
      <w:pPr>
        <w:spacing w:line="360" w:lineRule="auto"/>
        <w:jc w:val="both"/>
        <w:rPr>
          <w:rFonts w:asciiTheme="majorBidi" w:hAnsiTheme="majorBidi" w:cstheme="majorBidi"/>
          <w:color w:val="C00000"/>
        </w:rPr>
      </w:pPr>
      <w:r w:rsidRPr="00364103">
        <w:rPr>
          <w:rFonts w:asciiTheme="majorBidi" w:hAnsiTheme="majorBidi" w:cstheme="majorBidi"/>
          <w:color w:val="C00000"/>
        </w:rPr>
        <w:t xml:space="preserve">Given the history of surveillance and institutional scrutiny experienced by the </w:t>
      </w:r>
      <w:r w:rsidR="00B56601">
        <w:rPr>
          <w:rFonts w:asciiTheme="majorBidi" w:hAnsiTheme="majorBidi" w:cstheme="majorBidi"/>
          <w:color w:val="C00000"/>
        </w:rPr>
        <w:t>movement</w:t>
      </w:r>
      <w:r w:rsidRPr="00364103">
        <w:rPr>
          <w:rFonts w:asciiTheme="majorBidi" w:hAnsiTheme="majorBidi" w:cstheme="majorBidi"/>
          <w:color w:val="C00000"/>
        </w:rPr>
        <w:t>, the study employs verbal consent recorded as an audio statement at the beginning of each interview. This approach follows the guidance of the Association of Social Anthropologists, which recognises that written consent forms may generate discomfort in communities with historical reasons to remain cautious toward formal documentation. Recording verbal consent therefore prioritises participant comfort while limiting the perception that involvement is being formally documented through institutional records.</w:t>
      </w:r>
    </w:p>
    <w:p w14:paraId="3562DEEB" w14:textId="77777777" w:rsidR="00364103" w:rsidRPr="00364103" w:rsidRDefault="00364103" w:rsidP="00F636D4">
      <w:pPr>
        <w:pStyle w:val="Heading3"/>
      </w:pPr>
      <w:r w:rsidRPr="00364103">
        <w:t>Confidentiality and Data Management</w:t>
      </w:r>
    </w:p>
    <w:p w14:paraId="2D0EBB42" w14:textId="13E44C4F" w:rsidR="00364103" w:rsidRPr="00364103" w:rsidRDefault="00364103" w:rsidP="00751F78">
      <w:pPr>
        <w:spacing w:line="360" w:lineRule="auto"/>
        <w:jc w:val="both"/>
        <w:rPr>
          <w:rFonts w:asciiTheme="majorBidi" w:hAnsiTheme="majorBidi" w:cstheme="majorBidi"/>
          <w:color w:val="C00000"/>
        </w:rPr>
      </w:pPr>
      <w:r w:rsidRPr="00364103">
        <w:rPr>
          <w:rFonts w:asciiTheme="majorBidi" w:hAnsiTheme="majorBidi" w:cstheme="majorBidi"/>
          <w:color w:val="C00000"/>
        </w:rPr>
        <w:t>Measures have been implemented to minimise risks associated with the disclosure of potentially sensitive information. Participant anonymity is preserved throughout the research process, with identifying details removed at the transcription stage. Audio recordings constitute identifiable personal data and are therefore stored</w:t>
      </w:r>
      <w:r w:rsidR="002D6369">
        <w:rPr>
          <w:rFonts w:asciiTheme="majorBidi" w:hAnsiTheme="majorBidi" w:cstheme="majorBidi"/>
          <w:color w:val="C00000"/>
        </w:rPr>
        <w:t xml:space="preserve"> </w:t>
      </w:r>
      <w:r w:rsidRPr="00364103">
        <w:rPr>
          <w:rFonts w:asciiTheme="majorBidi" w:hAnsiTheme="majorBidi" w:cstheme="majorBidi"/>
          <w:color w:val="C00000"/>
        </w:rPr>
        <w:t>and managed in accordance with the requirements of UK General Data Protection Regulation standards. The research design also recognises that participants may discuss experiences or perspectives that could generate personal or professional repercussions if disclosed publicly. For this reason, access to raw data is restricted and all materials are securely stored.</w:t>
      </w:r>
    </w:p>
    <w:p w14:paraId="29329D4F" w14:textId="77777777" w:rsidR="00364103" w:rsidRPr="00364103" w:rsidRDefault="00364103" w:rsidP="00751F78">
      <w:pPr>
        <w:spacing w:line="360" w:lineRule="auto"/>
        <w:jc w:val="both"/>
        <w:rPr>
          <w:rFonts w:asciiTheme="majorBidi" w:hAnsiTheme="majorBidi" w:cstheme="majorBidi"/>
          <w:color w:val="C00000"/>
        </w:rPr>
      </w:pPr>
      <w:r w:rsidRPr="00364103">
        <w:rPr>
          <w:rFonts w:asciiTheme="majorBidi" w:hAnsiTheme="majorBidi" w:cstheme="majorBidi"/>
          <w:color w:val="C00000"/>
        </w:rPr>
        <w:t>To ensure that participation remains entirely voluntary, no financial or material incentives are offered. This decision seeks to avoid any perception of inducement or obligation that could influence participants’ willingness to take part.</w:t>
      </w:r>
    </w:p>
    <w:p w14:paraId="15C99A5F" w14:textId="77777777" w:rsidR="00364103" w:rsidRPr="00364103" w:rsidRDefault="00364103" w:rsidP="00F636D4">
      <w:pPr>
        <w:pStyle w:val="Heading3"/>
      </w:pPr>
      <w:r w:rsidRPr="00364103">
        <w:t>Recruitment and Gatekeeper Dynamics</w:t>
      </w:r>
    </w:p>
    <w:p w14:paraId="7233EA9A" w14:textId="0B1B83AB" w:rsidR="00364103" w:rsidRPr="00364103" w:rsidRDefault="00364103" w:rsidP="00751F78">
      <w:pPr>
        <w:spacing w:line="360" w:lineRule="auto"/>
        <w:jc w:val="both"/>
        <w:rPr>
          <w:rFonts w:asciiTheme="majorBidi" w:hAnsiTheme="majorBidi" w:cstheme="majorBidi"/>
          <w:color w:val="C00000"/>
        </w:rPr>
      </w:pPr>
      <w:r w:rsidRPr="00364103">
        <w:rPr>
          <w:rFonts w:asciiTheme="majorBidi" w:hAnsiTheme="majorBidi" w:cstheme="majorBidi"/>
          <w:color w:val="C00000"/>
        </w:rPr>
        <w:t xml:space="preserve">Participant recruitment relies on purposive and snowball sampling, with initial access facilitated by community gatekeepers. In order to reduce the influence of organisational </w:t>
      </w:r>
      <w:r w:rsidRPr="00364103">
        <w:rPr>
          <w:rFonts w:asciiTheme="majorBidi" w:hAnsiTheme="majorBidi" w:cstheme="majorBidi"/>
          <w:color w:val="C00000"/>
        </w:rPr>
        <w:lastRenderedPageBreak/>
        <w:t>hierarchies, gatekeepers function solely as channels through which information about the study is circulated. They are not present during interviews and are not informed about who ultimately agrees or declines to participate. Communications with potential participants explicitly state that choosing not to participate carries no consequences for their standing within the organisation.</w:t>
      </w:r>
    </w:p>
    <w:p w14:paraId="4CBC09B6" w14:textId="77777777" w:rsidR="00364103" w:rsidRPr="00364103" w:rsidRDefault="00364103" w:rsidP="00F636D4">
      <w:pPr>
        <w:pStyle w:val="Heading3"/>
      </w:pPr>
      <w:r w:rsidRPr="00364103">
        <w:t>Positional Considerations</w:t>
      </w:r>
    </w:p>
    <w:p w14:paraId="64CD5705" w14:textId="205FDF46" w:rsidR="00364103" w:rsidRPr="00364103" w:rsidRDefault="00364103" w:rsidP="00751F78">
      <w:pPr>
        <w:spacing w:line="360" w:lineRule="auto"/>
        <w:jc w:val="both"/>
        <w:rPr>
          <w:rFonts w:asciiTheme="majorBidi" w:hAnsiTheme="majorBidi" w:cstheme="majorBidi"/>
          <w:color w:val="C00000"/>
        </w:rPr>
      </w:pPr>
      <w:commentRangeStart w:id="46"/>
      <w:r w:rsidRPr="00364103">
        <w:rPr>
          <w:rFonts w:asciiTheme="majorBidi" w:hAnsiTheme="majorBidi" w:cstheme="majorBidi"/>
          <w:color w:val="C00000"/>
        </w:rPr>
        <w:t xml:space="preserve">Research involving historically marginalised movements requires careful attention to positionality. The study therefore adopts a reflexive stance that recognises the dependent position that some participants may occupy within organisational hierarchies, as well as the broader context of Black religious and political organising in the </w:t>
      </w:r>
      <w:r w:rsidR="006512BC">
        <w:rPr>
          <w:rFonts w:asciiTheme="majorBidi" w:hAnsiTheme="majorBidi" w:cstheme="majorBidi"/>
          <w:color w:val="C00000"/>
        </w:rPr>
        <w:t>US</w:t>
      </w:r>
      <w:r w:rsidRPr="00364103">
        <w:rPr>
          <w:rFonts w:asciiTheme="majorBidi" w:hAnsiTheme="majorBidi" w:cstheme="majorBidi"/>
          <w:color w:val="C00000"/>
        </w:rPr>
        <w:t>. Through a critical realist interview approach, the research seeks to understand how leadership frames are interpreted and reproduced across different organisational levels, extending from senior leadership to rank-and-file members. Fieldwork conducted in Chicago and other urban centres in the United States is undertaken with sensitivity to the historical and regional conditions that shape these perspectives.</w:t>
      </w:r>
      <w:commentRangeEnd w:id="46"/>
      <w:r w:rsidR="006512BC" w:rsidRPr="00364103">
        <w:rPr>
          <w:rStyle w:val="CommentReference"/>
          <w:rFonts w:asciiTheme="majorBidi" w:hAnsiTheme="majorBidi" w:cstheme="majorBidi"/>
          <w:color w:val="C00000"/>
          <w:sz w:val="24"/>
          <w:szCs w:val="24"/>
        </w:rPr>
        <w:commentReference w:id="46"/>
      </w:r>
    </w:p>
    <w:p w14:paraId="725668EE" w14:textId="77777777" w:rsidR="00DE18C4" w:rsidRPr="001B4D0D" w:rsidRDefault="00DE18C4" w:rsidP="00DE18C4">
      <w:pPr>
        <w:rPr>
          <w:rFonts w:asciiTheme="majorBidi" w:hAnsiTheme="majorBidi" w:cstheme="majorBidi"/>
          <w:color w:val="C00000"/>
        </w:rPr>
      </w:pPr>
    </w:p>
    <w:p w14:paraId="5AE115D6" w14:textId="77777777" w:rsidR="00DE18C4" w:rsidRPr="001B4D0D" w:rsidRDefault="00DE18C4">
      <w:pPr>
        <w:rPr>
          <w:rFonts w:asciiTheme="majorBidi" w:eastAsiaTheme="majorEastAsia" w:hAnsiTheme="majorBidi" w:cstheme="majorBidi"/>
          <w:sz w:val="32"/>
          <w:szCs w:val="32"/>
        </w:rPr>
      </w:pPr>
      <w:r w:rsidRPr="001B4D0D">
        <w:rPr>
          <w:rFonts w:asciiTheme="majorBidi" w:hAnsiTheme="majorBidi" w:cstheme="majorBidi"/>
        </w:rPr>
        <w:br w:type="page"/>
      </w:r>
    </w:p>
    <w:p w14:paraId="32EA3284" w14:textId="78045FEE" w:rsidR="00E00DD8" w:rsidRPr="001B4D0D" w:rsidRDefault="00DE18C4" w:rsidP="00DE18C4">
      <w:pPr>
        <w:pStyle w:val="Heading2"/>
        <w:rPr>
          <w:rFonts w:asciiTheme="majorBidi" w:hAnsiTheme="majorBidi"/>
          <w:color w:val="auto"/>
        </w:rPr>
      </w:pPr>
      <w:commentRangeStart w:id="47"/>
      <w:r w:rsidRPr="001B4D0D">
        <w:rPr>
          <w:rFonts w:asciiTheme="majorBidi" w:hAnsiTheme="majorBidi"/>
          <w:color w:val="auto"/>
        </w:rPr>
        <w:lastRenderedPageBreak/>
        <w:t>Reflections and Adaptations</w:t>
      </w:r>
      <w:commentRangeEnd w:id="47"/>
      <w:r w:rsidR="00C00E01" w:rsidRPr="001B4D0D">
        <w:rPr>
          <w:rStyle w:val="CommentReference"/>
          <w:rFonts w:asciiTheme="majorBidi" w:hAnsiTheme="majorBidi"/>
          <w:color w:val="auto"/>
          <w:sz w:val="32"/>
          <w:szCs w:val="32"/>
        </w:rPr>
        <w:commentReference w:id="47"/>
      </w:r>
    </w:p>
    <w:p w14:paraId="1CAEA8F7" w14:textId="77777777" w:rsidR="00B51FAB" w:rsidRPr="001B4D0D" w:rsidRDefault="00B51FAB" w:rsidP="00B51FAB">
      <w:pPr>
        <w:rPr>
          <w:rFonts w:asciiTheme="majorBidi" w:hAnsiTheme="majorBidi" w:cstheme="majorBidi"/>
          <w:color w:val="C00000"/>
        </w:rPr>
      </w:pPr>
      <w:r w:rsidRPr="001B4D0D">
        <w:rPr>
          <w:rFonts w:asciiTheme="majorBidi" w:hAnsiTheme="majorBidi" w:cstheme="majorBidi"/>
          <w:color w:val="C00000"/>
        </w:rPr>
        <w:t>Given the exploratory and historical nature of the project, divergence from the initial research plan is expected. The availability of sources, responsiveness of interviewees, or analytical dead-ends may necessitate adaptation. These changes will be documented and justified in the thesis, not as detours, but as part of the iterative unfolding of research.</w:t>
      </w:r>
    </w:p>
    <w:p w14:paraId="7394D349" w14:textId="77777777" w:rsidR="00B51FAB" w:rsidRPr="001B4D0D" w:rsidRDefault="00B51FAB" w:rsidP="00B51FAB">
      <w:pPr>
        <w:rPr>
          <w:rFonts w:asciiTheme="majorBidi" w:hAnsiTheme="majorBidi" w:cstheme="majorBidi"/>
          <w:color w:val="C00000"/>
        </w:rPr>
      </w:pPr>
      <w:r w:rsidRPr="001B4D0D">
        <w:rPr>
          <w:rFonts w:asciiTheme="majorBidi" w:hAnsiTheme="majorBidi" w:cstheme="majorBidi"/>
          <w:color w:val="C00000"/>
        </w:rPr>
        <w:t>Anticipated obstacles include restricted access to archival material, difficulties in recruiting participants with long-term involvement in the NOI, and potential interpretive challenges in reconciling conflicting rhetorical styles or frame trajectories. If necessary, the scope of the corpus will be adjusted to reflect what is analytically viable within the timeframe and constraints of the project.</w:t>
      </w:r>
    </w:p>
    <w:p w14:paraId="2F7A8345" w14:textId="77777777" w:rsidR="00B51FAB" w:rsidRPr="001B4D0D" w:rsidRDefault="00B51FAB" w:rsidP="00B51FAB">
      <w:pPr>
        <w:rPr>
          <w:rFonts w:asciiTheme="majorBidi" w:hAnsiTheme="majorBidi" w:cstheme="majorBidi"/>
          <w:color w:val="C00000"/>
        </w:rPr>
      </w:pPr>
      <w:r w:rsidRPr="001B4D0D">
        <w:rPr>
          <w:rFonts w:asciiTheme="majorBidi" w:hAnsiTheme="majorBidi" w:cstheme="majorBidi"/>
          <w:color w:val="C00000"/>
        </w:rPr>
        <w:t>Reflexivity will be embedded throughout the research process and in the final write-up. The researcher’s positionality—particularly with respect to race, religion, and academic distance—will be acknowledged where it bears on interpretation or access. Reflexive entries may be kept throughout fieldwork or analysis, helping to track assumptions, uncertainties, and points of transformation in the researcher’s understanding. The methodology chapter itself will thus be situated within the broader commitment to treating knowledge production not as neutral representation, but as a historically embedded and politically situated practice.</w:t>
      </w:r>
    </w:p>
    <w:p w14:paraId="168CC898" w14:textId="77777777" w:rsidR="00B44491" w:rsidRPr="001B4D0D" w:rsidRDefault="00B44491" w:rsidP="00B51FAB">
      <w:pPr>
        <w:rPr>
          <w:rFonts w:asciiTheme="majorBidi" w:hAnsiTheme="majorBidi" w:cstheme="majorBidi"/>
          <w:color w:val="C00000"/>
        </w:rPr>
      </w:pPr>
    </w:p>
    <w:p w14:paraId="18073073" w14:textId="0D32D656" w:rsidR="00B44491" w:rsidRPr="001B4D0D" w:rsidRDefault="00B81840" w:rsidP="00B51FAB">
      <w:pPr>
        <w:rPr>
          <w:rFonts w:asciiTheme="majorBidi" w:hAnsiTheme="majorBidi" w:cstheme="majorBidi"/>
          <w:color w:val="C00000"/>
        </w:rPr>
      </w:pPr>
      <w:commentRangeStart w:id="48"/>
      <w:r w:rsidRPr="001B4D0D">
        <w:rPr>
          <w:rFonts w:asciiTheme="majorBidi" w:hAnsiTheme="majorBidi" w:cstheme="majorBidi"/>
          <w:color w:val="C00000"/>
        </w:rPr>
        <w:t xml:space="preserve">In a study </w:t>
      </w:r>
      <w:r w:rsidR="00862EC1" w:rsidRPr="001B4D0D">
        <w:rPr>
          <w:rFonts w:asciiTheme="majorBidi" w:hAnsiTheme="majorBidi" w:cstheme="majorBidi"/>
          <w:color w:val="C00000"/>
        </w:rPr>
        <w:t xml:space="preserve">more focused on </w:t>
      </w:r>
      <w:commentRangeEnd w:id="48"/>
      <w:r w:rsidR="009A0111" w:rsidRPr="001B4D0D">
        <w:rPr>
          <w:rStyle w:val="CommentReference"/>
          <w:rFonts w:asciiTheme="majorBidi" w:hAnsiTheme="majorBidi" w:cstheme="majorBidi"/>
          <w:color w:val="C00000"/>
          <w:sz w:val="24"/>
          <w:szCs w:val="24"/>
        </w:rPr>
        <w:commentReference w:id="48"/>
      </w:r>
    </w:p>
    <w:p w14:paraId="4E2B757B" w14:textId="53C2DA20" w:rsidR="0035325F" w:rsidRPr="001B4D0D" w:rsidRDefault="004D1CBA" w:rsidP="0035325F">
      <w:pPr>
        <w:pStyle w:val="ListParagraph"/>
        <w:numPr>
          <w:ilvl w:val="0"/>
          <w:numId w:val="7"/>
        </w:numPr>
        <w:rPr>
          <w:rFonts w:asciiTheme="majorBidi" w:hAnsiTheme="majorBidi" w:cstheme="majorBidi"/>
          <w:sz w:val="22"/>
          <w:szCs w:val="22"/>
        </w:rPr>
      </w:pPr>
      <w:r w:rsidRPr="001B4D0D">
        <w:rPr>
          <w:rFonts w:asciiTheme="majorBidi" w:hAnsiTheme="majorBidi" w:cstheme="majorBidi"/>
          <w:sz w:val="22"/>
          <w:szCs w:val="22"/>
        </w:rPr>
        <w:t>T</w:t>
      </w:r>
      <w:r w:rsidR="0088048A" w:rsidRPr="001B4D0D">
        <w:rPr>
          <w:rFonts w:asciiTheme="majorBidi" w:hAnsiTheme="majorBidi" w:cstheme="majorBidi"/>
          <w:sz w:val="22"/>
          <w:szCs w:val="22"/>
        </w:rPr>
        <w:t>he research design is characterised by a high degree of replicability</w:t>
      </w:r>
      <w:r w:rsidRPr="001B4D0D">
        <w:rPr>
          <w:rFonts w:asciiTheme="majorBidi" w:hAnsiTheme="majorBidi" w:cstheme="majorBidi"/>
          <w:sz w:val="22"/>
          <w:szCs w:val="22"/>
        </w:rPr>
        <w:t>. Though,</w:t>
      </w:r>
      <w:r w:rsidR="0088048A" w:rsidRPr="001B4D0D">
        <w:rPr>
          <w:rFonts w:asciiTheme="majorBidi" w:hAnsiTheme="majorBidi" w:cstheme="majorBidi"/>
          <w:sz w:val="22"/>
          <w:szCs w:val="22"/>
        </w:rPr>
        <w:t xml:space="preserve"> the </w:t>
      </w:r>
      <w:r w:rsidR="00012ABC" w:rsidRPr="001B4D0D">
        <w:rPr>
          <w:rFonts w:asciiTheme="majorBidi" w:hAnsiTheme="majorBidi" w:cstheme="majorBidi"/>
          <w:sz w:val="22"/>
          <w:szCs w:val="22"/>
        </w:rPr>
        <w:t xml:space="preserve">NOI </w:t>
      </w:r>
      <w:r w:rsidR="0088048A" w:rsidRPr="001B4D0D">
        <w:rPr>
          <w:rFonts w:asciiTheme="majorBidi" w:hAnsiTheme="majorBidi" w:cstheme="majorBidi"/>
          <w:sz w:val="22"/>
          <w:szCs w:val="22"/>
        </w:rPr>
        <w:t xml:space="preserve">presents distinctive features that complicate direct comparison </w:t>
      </w:r>
      <w:r w:rsidR="00B464B5" w:rsidRPr="001B4D0D">
        <w:rPr>
          <w:rFonts w:asciiTheme="majorBidi" w:hAnsiTheme="majorBidi" w:cstheme="majorBidi"/>
          <w:sz w:val="22"/>
          <w:szCs w:val="22"/>
        </w:rPr>
        <w:t xml:space="preserve">of findings </w:t>
      </w:r>
      <w:r w:rsidR="0088048A" w:rsidRPr="001B4D0D">
        <w:rPr>
          <w:rFonts w:asciiTheme="majorBidi" w:hAnsiTheme="majorBidi" w:cstheme="majorBidi"/>
          <w:sz w:val="22"/>
          <w:szCs w:val="22"/>
        </w:rPr>
        <w:t xml:space="preserve">with other social movements. </w:t>
      </w:r>
      <w:r w:rsidR="0035325F" w:rsidRPr="001B4D0D">
        <w:rPr>
          <w:rFonts w:asciiTheme="majorBidi" w:hAnsiTheme="majorBidi" w:cstheme="majorBidi"/>
          <w:sz w:val="22"/>
          <w:szCs w:val="22"/>
        </w:rPr>
        <w:t>Its fusion of religious</w:t>
      </w:r>
      <w:r w:rsidR="00C87AF6" w:rsidRPr="001B4D0D">
        <w:rPr>
          <w:rFonts w:asciiTheme="majorBidi" w:hAnsiTheme="majorBidi" w:cstheme="majorBidi"/>
          <w:sz w:val="22"/>
          <w:szCs w:val="22"/>
        </w:rPr>
        <w:t>, separatist,</w:t>
      </w:r>
      <w:r w:rsidR="0035325F" w:rsidRPr="001B4D0D">
        <w:rPr>
          <w:rFonts w:asciiTheme="majorBidi" w:hAnsiTheme="majorBidi" w:cstheme="majorBidi"/>
          <w:sz w:val="22"/>
          <w:szCs w:val="22"/>
        </w:rPr>
        <w:t xml:space="preserve"> and socio-political orientation, the sacralisation of certain leaders as divine or prophetic figures, and its integration of theological claims into political rhetoric create a form of case that differs from movements with exclusively secular or exclusively religious leadership. These factors mean the findings may speak more directly to movements that share some of these characteristics, and less to those that do not.</w:t>
      </w:r>
    </w:p>
    <w:p w14:paraId="7446C8D8" w14:textId="5ADB8B07" w:rsidR="0035325F" w:rsidRPr="001B4D0D" w:rsidRDefault="0035325F" w:rsidP="0035325F">
      <w:pPr>
        <w:pStyle w:val="ListParagraph"/>
        <w:numPr>
          <w:ilvl w:val="0"/>
          <w:numId w:val="7"/>
        </w:numPr>
        <w:rPr>
          <w:rFonts w:asciiTheme="majorBidi" w:hAnsiTheme="majorBidi" w:cstheme="majorBidi"/>
          <w:sz w:val="22"/>
          <w:szCs w:val="22"/>
        </w:rPr>
      </w:pPr>
      <w:r w:rsidRPr="001B4D0D">
        <w:rPr>
          <w:rFonts w:asciiTheme="majorBidi" w:hAnsiTheme="majorBidi" w:cstheme="majorBidi"/>
          <w:sz w:val="22"/>
          <w:szCs w:val="22"/>
        </w:rPr>
        <w:t xml:space="preserve">At the same time, this distinctiveness offers theoretical value. Examining framing processes in </w:t>
      </w:r>
      <w:r w:rsidR="00AE7371" w:rsidRPr="001B4D0D">
        <w:rPr>
          <w:rFonts w:asciiTheme="majorBidi" w:hAnsiTheme="majorBidi" w:cstheme="majorBidi"/>
          <w:sz w:val="22"/>
          <w:szCs w:val="22"/>
        </w:rPr>
        <w:t xml:space="preserve">this context </w:t>
      </w:r>
      <w:r w:rsidRPr="001B4D0D">
        <w:rPr>
          <w:rFonts w:asciiTheme="majorBidi" w:hAnsiTheme="majorBidi" w:cstheme="majorBidi"/>
          <w:sz w:val="22"/>
          <w:szCs w:val="22"/>
        </w:rPr>
        <w:t xml:space="preserve">provides insight into how frames are </w:t>
      </w:r>
      <w:r w:rsidR="00AE7371" w:rsidRPr="001B4D0D">
        <w:rPr>
          <w:rFonts w:asciiTheme="majorBidi" w:hAnsiTheme="majorBidi" w:cstheme="majorBidi"/>
          <w:sz w:val="22"/>
          <w:szCs w:val="22"/>
        </w:rPr>
        <w:t>managed</w:t>
      </w:r>
      <w:r w:rsidRPr="001B4D0D">
        <w:rPr>
          <w:rFonts w:asciiTheme="majorBidi" w:hAnsiTheme="majorBidi" w:cstheme="majorBidi"/>
          <w:sz w:val="22"/>
          <w:szCs w:val="22"/>
        </w:rPr>
        <w:t xml:space="preserve"> under </w:t>
      </w:r>
      <w:r w:rsidR="00B27489" w:rsidRPr="001B4D0D">
        <w:rPr>
          <w:rFonts w:asciiTheme="majorBidi" w:hAnsiTheme="majorBidi" w:cstheme="majorBidi"/>
          <w:sz w:val="22"/>
          <w:szCs w:val="22"/>
        </w:rPr>
        <w:t xml:space="preserve">multiple </w:t>
      </w:r>
      <w:r w:rsidRPr="001B4D0D">
        <w:rPr>
          <w:rFonts w:asciiTheme="majorBidi" w:hAnsiTheme="majorBidi" w:cstheme="majorBidi"/>
          <w:sz w:val="22"/>
          <w:szCs w:val="22"/>
        </w:rPr>
        <w:t xml:space="preserve">conditions of legitimacy. Such cases remain under-explored in social movement scholarship, and analysis of the </w:t>
      </w:r>
      <w:r w:rsidR="00424606" w:rsidRPr="001B4D0D">
        <w:rPr>
          <w:rFonts w:asciiTheme="majorBidi" w:hAnsiTheme="majorBidi" w:cstheme="majorBidi"/>
          <w:sz w:val="22"/>
          <w:szCs w:val="22"/>
        </w:rPr>
        <w:t xml:space="preserve">NOI </w:t>
      </w:r>
      <w:r w:rsidRPr="001B4D0D">
        <w:rPr>
          <w:rFonts w:asciiTheme="majorBidi" w:hAnsiTheme="majorBidi" w:cstheme="majorBidi"/>
          <w:sz w:val="22"/>
          <w:szCs w:val="22"/>
        </w:rPr>
        <w:t>can help refine theoretical distinctions between secular and religious mobilisation, as well as between different modes of charismatic leadership.</w:t>
      </w:r>
    </w:p>
    <w:p w14:paraId="0A304E7B" w14:textId="5A940C84" w:rsidR="005C5931" w:rsidRPr="001B4D0D" w:rsidRDefault="005C5931" w:rsidP="00B464B5">
      <w:pPr>
        <w:pStyle w:val="ListParagraph"/>
        <w:numPr>
          <w:ilvl w:val="0"/>
          <w:numId w:val="7"/>
        </w:numPr>
        <w:rPr>
          <w:rFonts w:asciiTheme="majorBidi" w:hAnsiTheme="majorBidi" w:cstheme="majorBidi"/>
          <w:sz w:val="22"/>
          <w:szCs w:val="22"/>
        </w:rPr>
      </w:pPr>
    </w:p>
    <w:p w14:paraId="2A3D9928" w14:textId="77777777" w:rsidR="00D26E67" w:rsidRPr="001B4D0D" w:rsidRDefault="00D26E67" w:rsidP="00D26E67">
      <w:pPr>
        <w:pStyle w:val="ListParagraph"/>
        <w:numPr>
          <w:ilvl w:val="0"/>
          <w:numId w:val="7"/>
        </w:numPr>
        <w:spacing w:before="100" w:beforeAutospacing="1" w:after="100" w:afterAutospacing="1" w:line="240" w:lineRule="auto"/>
        <w:rPr>
          <w:rFonts w:asciiTheme="majorBidi" w:eastAsia="Times New Roman" w:hAnsiTheme="majorBidi" w:cstheme="majorBidi"/>
          <w:kern w:val="0"/>
          <w:lang w:eastAsia="en-GB"/>
          <w14:ligatures w14:val="none"/>
        </w:rPr>
      </w:pPr>
      <w:r w:rsidRPr="001B4D0D">
        <w:rPr>
          <w:rFonts w:asciiTheme="majorBidi" w:eastAsia="Times New Roman" w:hAnsiTheme="majorBidi" w:cstheme="majorBidi"/>
          <w:kern w:val="0"/>
          <w:lang w:eastAsia="en-GB"/>
          <w14:ligatures w14:val="none"/>
        </w:rPr>
        <w:t xml:space="preserve">A further limitation concerns the contextual specificity of each leadership period within the Nation of Islam. Each leader operated within distinct sociopolitical environments, characterised by unique opportunities, constraints, and public perceptions. While the study focuses on the construction and adaptation of collective action frames, these background conditions may influence how frames were deployed and received. To address this, the analysis compares leaders relative to their own contexts, examining how Elijah Muhammad adapted frames in the 1940s–1970s and Farrakhan did so in the 1980s–present, without assuming parity across periods. Contextual factors are treated as background conditions that inform interpretation, such as political repression, media attention, or community mobilisation, while the coding and analysis remain centred on the mechanisms of framing and rhetorical </w:t>
      </w:r>
      <w:r w:rsidRPr="001B4D0D">
        <w:rPr>
          <w:rFonts w:asciiTheme="majorBidi" w:eastAsia="Times New Roman" w:hAnsiTheme="majorBidi" w:cstheme="majorBidi"/>
          <w:kern w:val="0"/>
          <w:lang w:eastAsia="en-GB"/>
          <w14:ligatures w14:val="none"/>
        </w:rPr>
        <w:lastRenderedPageBreak/>
        <w:t>adjustment. Nonetheless, the uniqueness of each period may limit the generalisability of findings beyond the Nation of Islam or to movements operating under substantially different conditions.</w:t>
      </w:r>
    </w:p>
    <w:p w14:paraId="669795C4" w14:textId="37D2BA30" w:rsidR="002670D4" w:rsidRPr="001B4D0D" w:rsidRDefault="002670D4" w:rsidP="002670D4">
      <w:pPr>
        <w:pStyle w:val="ListParagraph"/>
        <w:numPr>
          <w:ilvl w:val="0"/>
          <w:numId w:val="7"/>
        </w:numPr>
        <w:spacing w:before="100" w:beforeAutospacing="1" w:after="100" w:afterAutospacing="1" w:line="240" w:lineRule="auto"/>
        <w:rPr>
          <w:rFonts w:asciiTheme="majorBidi" w:eastAsia="Times New Roman" w:hAnsiTheme="majorBidi" w:cstheme="majorBidi"/>
          <w:kern w:val="0"/>
          <w:lang w:eastAsia="en-GB"/>
          <w14:ligatures w14:val="none"/>
        </w:rPr>
      </w:pPr>
    </w:p>
    <w:p w14:paraId="5AD02F86" w14:textId="77777777" w:rsidR="000D3884" w:rsidRPr="001B4D0D" w:rsidRDefault="000D3884">
      <w:pPr>
        <w:rPr>
          <w:rFonts w:asciiTheme="majorBidi" w:hAnsiTheme="majorBidi" w:cstheme="majorBidi"/>
          <w:sz w:val="22"/>
          <w:szCs w:val="22"/>
        </w:rPr>
      </w:pPr>
    </w:p>
    <w:p w14:paraId="1DFFB545" w14:textId="77777777" w:rsidR="00523CB6" w:rsidRPr="001B4D0D" w:rsidRDefault="00523CB6">
      <w:pPr>
        <w:rPr>
          <w:rFonts w:asciiTheme="majorBidi" w:hAnsiTheme="majorBidi" w:cstheme="majorBidi"/>
          <w:sz w:val="22"/>
          <w:szCs w:val="22"/>
        </w:rPr>
      </w:pPr>
    </w:p>
    <w:p w14:paraId="36DE23E5" w14:textId="573437AC" w:rsidR="00F111C7" w:rsidRPr="001B4D0D" w:rsidRDefault="00635860" w:rsidP="00635860">
      <w:pPr>
        <w:pStyle w:val="ListParagraph"/>
        <w:numPr>
          <w:ilvl w:val="0"/>
          <w:numId w:val="2"/>
        </w:numPr>
        <w:rPr>
          <w:rFonts w:asciiTheme="majorBidi" w:hAnsiTheme="majorBidi" w:cstheme="majorBidi"/>
          <w:sz w:val="22"/>
          <w:szCs w:val="22"/>
        </w:rPr>
      </w:pPr>
      <w:r w:rsidRPr="001B4D0D">
        <w:rPr>
          <w:rFonts w:asciiTheme="majorBidi" w:hAnsiTheme="majorBidi" w:cstheme="majorBidi"/>
          <w:sz w:val="22"/>
          <w:szCs w:val="22"/>
        </w:rPr>
        <w:t>In approaching this study, I have found it analytically productive to engage, where possible, with the internal logic and worldview of the movement. This does not imply identification with or adherence to its beliefs. As someone who, by virtue of my ethnic and racial background, would not be eligible for membership in the Nation of Islam, I am positioned outside the sphere of potential conversion. This distance affords a certain clarity, particularly when interpreting doctrinal claims and organisational boundaries, without the added complexity of being seen as a prospective adherent.</w:t>
      </w:r>
    </w:p>
    <w:p w14:paraId="05271A89" w14:textId="77777777" w:rsidR="000D3884" w:rsidRPr="001B4D0D" w:rsidRDefault="000D3884">
      <w:pPr>
        <w:rPr>
          <w:rFonts w:asciiTheme="majorBidi" w:hAnsiTheme="majorBidi" w:cstheme="majorBidi"/>
          <w:sz w:val="22"/>
          <w:szCs w:val="22"/>
        </w:rPr>
      </w:pPr>
    </w:p>
    <w:p w14:paraId="0621AFF6" w14:textId="20C3D0EE" w:rsidR="00882A74" w:rsidRPr="001B4D0D" w:rsidRDefault="00882A74" w:rsidP="00882A74">
      <w:pPr>
        <w:rPr>
          <w:rFonts w:asciiTheme="majorBidi" w:hAnsiTheme="majorBidi" w:cstheme="majorBidi"/>
          <w:sz w:val="22"/>
          <w:szCs w:val="22"/>
        </w:rPr>
      </w:pPr>
      <w:commentRangeStart w:id="49"/>
      <w:r w:rsidRPr="001B4D0D">
        <w:rPr>
          <w:rFonts w:asciiTheme="majorBidi" w:hAnsiTheme="majorBidi" w:cstheme="majorBidi"/>
          <w:sz w:val="22"/>
          <w:szCs w:val="22"/>
        </w:rPr>
        <w:t xml:space="preserve"> Access to archival materials, internal media, and leader speeches may be uneven across time periods or leaderships, potentially skewing the evidentiary base toward better-documented eras or more visible figures.</w:t>
      </w:r>
      <w:commentRangeEnd w:id="49"/>
      <w:r w:rsidR="00E77790" w:rsidRPr="001B4D0D">
        <w:rPr>
          <w:rStyle w:val="CommentReference"/>
          <w:rFonts w:asciiTheme="majorBidi" w:hAnsiTheme="majorBidi" w:cstheme="majorBidi"/>
          <w:sz w:val="22"/>
          <w:szCs w:val="22"/>
        </w:rPr>
        <w:commentReference w:id="49"/>
      </w:r>
    </w:p>
    <w:p w14:paraId="56A704C8" w14:textId="131E7AC7" w:rsidR="001D402F" w:rsidRPr="001B4D0D" w:rsidRDefault="001D402F" w:rsidP="001D402F">
      <w:pPr>
        <w:rPr>
          <w:rFonts w:asciiTheme="majorBidi" w:hAnsiTheme="majorBidi" w:cstheme="majorBidi"/>
          <w:sz w:val="22"/>
          <w:szCs w:val="22"/>
        </w:rPr>
      </w:pPr>
      <w:commentRangeStart w:id="50"/>
      <w:r w:rsidRPr="001B4D0D">
        <w:rPr>
          <w:rFonts w:asciiTheme="majorBidi" w:hAnsiTheme="majorBidi" w:cstheme="majorBidi"/>
          <w:sz w:val="22"/>
          <w:szCs w:val="22"/>
        </w:rPr>
        <w:t>Although the study incorporates interviews and audience reception, the retrospective nature of many accounts may be shaped by selective memory, subsequent political developments, or the respondent’s current relationship to the movement.</w:t>
      </w:r>
      <w:commentRangeEnd w:id="50"/>
      <w:r w:rsidR="00B32B17" w:rsidRPr="001B4D0D">
        <w:rPr>
          <w:rStyle w:val="CommentReference"/>
          <w:rFonts w:asciiTheme="majorBidi" w:hAnsiTheme="majorBidi" w:cstheme="majorBidi"/>
          <w:sz w:val="22"/>
          <w:szCs w:val="22"/>
        </w:rPr>
        <w:commentReference w:id="50"/>
      </w:r>
    </w:p>
    <w:p w14:paraId="46A4B1DC" w14:textId="5CCDD5D8" w:rsidR="00882A74" w:rsidRPr="001B4D0D" w:rsidRDefault="0059641E" w:rsidP="0059641E">
      <w:pPr>
        <w:pStyle w:val="ListParagraph"/>
        <w:numPr>
          <w:ilvl w:val="0"/>
          <w:numId w:val="2"/>
        </w:numPr>
        <w:rPr>
          <w:rFonts w:asciiTheme="majorBidi" w:hAnsiTheme="majorBidi" w:cstheme="majorBidi"/>
          <w:sz w:val="22"/>
          <w:szCs w:val="22"/>
        </w:rPr>
      </w:pPr>
      <w:r w:rsidRPr="001B4D0D">
        <w:rPr>
          <w:rFonts w:asciiTheme="majorBidi" w:hAnsiTheme="majorBidi" w:cstheme="majorBidi"/>
          <w:sz w:val="22"/>
          <w:szCs w:val="22"/>
        </w:rPr>
        <w:t>Results may differ based on types of transitions… The noi generally involve … as findings were…. Whereas in transitions that take the form of…..</w:t>
      </w:r>
    </w:p>
    <w:p w14:paraId="0DEA8F4F" w14:textId="77777777" w:rsidR="00AB6A4F" w:rsidRPr="001B4D0D" w:rsidRDefault="00AB6A4F">
      <w:pPr>
        <w:rPr>
          <w:rFonts w:asciiTheme="majorBidi" w:hAnsiTheme="majorBidi" w:cstheme="majorBidi"/>
          <w:sz w:val="22"/>
          <w:szCs w:val="22"/>
        </w:rPr>
      </w:pPr>
    </w:p>
    <w:p w14:paraId="60FD7B9B" w14:textId="43EB54EC" w:rsidR="00AB6A4F" w:rsidRPr="001B4D0D" w:rsidRDefault="00AB6A4F" w:rsidP="00AB6A4F">
      <w:pPr>
        <w:pStyle w:val="ListParagraph"/>
        <w:numPr>
          <w:ilvl w:val="0"/>
          <w:numId w:val="2"/>
        </w:numPr>
        <w:rPr>
          <w:rFonts w:asciiTheme="majorBidi" w:hAnsiTheme="majorBidi" w:cstheme="majorBidi"/>
          <w:sz w:val="22"/>
          <w:szCs w:val="22"/>
        </w:rPr>
      </w:pPr>
      <w:r w:rsidRPr="001B4D0D">
        <w:rPr>
          <w:rFonts w:asciiTheme="majorBidi" w:hAnsiTheme="majorBidi" w:cstheme="majorBidi"/>
          <w:sz w:val="22"/>
          <w:szCs w:val="22"/>
        </w:rPr>
        <w:t xml:space="preserve">When looking at resonance, and considering measures, it must be noted that it has </w:t>
      </w:r>
      <w:r w:rsidR="000F4908" w:rsidRPr="001B4D0D">
        <w:rPr>
          <w:rFonts w:asciiTheme="majorBidi" w:hAnsiTheme="majorBidi" w:cstheme="majorBidi"/>
          <w:sz w:val="22"/>
          <w:szCs w:val="22"/>
        </w:rPr>
        <w:t xml:space="preserve">been a historical difficulty to </w:t>
      </w:r>
    </w:p>
    <w:p w14:paraId="12A794FC" w14:textId="041B1719" w:rsidR="0039242D" w:rsidRPr="001B4D0D" w:rsidRDefault="0039242D" w:rsidP="00CE29D4">
      <w:pPr>
        <w:pStyle w:val="ListParagraph"/>
        <w:numPr>
          <w:ilvl w:val="1"/>
          <w:numId w:val="2"/>
        </w:numPr>
        <w:rPr>
          <w:rFonts w:asciiTheme="majorBidi" w:hAnsiTheme="majorBidi" w:cstheme="majorBidi"/>
          <w:sz w:val="22"/>
          <w:szCs w:val="22"/>
        </w:rPr>
      </w:pPr>
      <w:r w:rsidRPr="001B4D0D">
        <w:rPr>
          <w:rFonts w:asciiTheme="majorBidi" w:hAnsiTheme="majorBidi" w:cstheme="majorBidi"/>
          <w:sz w:val="22"/>
          <w:szCs w:val="22"/>
        </w:rPr>
        <w:t>It is difficult to calculate exactly how many persons called themselves followers Of the NOI during the 1960s and 1970s. Estimates have ranged from below 10,000 to over 100,000, With no reliable census to confirm these numbers.12 Some members stayed in the NOI throughout this period, but many converts also left the movement, sometimes returning later. 13 No matter what its exact size, it is safe to conclude that the NOI was a relatively small group when compared to other African American religious communities and organizations-14 But this was a small group that, like other marginal groups and new religious movements in American religious history, made a big splash. 15</w:t>
      </w:r>
    </w:p>
    <w:sectPr w:rsidR="0039242D" w:rsidRPr="001B4D0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yal Burney" w:date="2026-08-18T19:46:00Z" w:initials="DB">
    <w:p w14:paraId="719248AA" w14:textId="77777777" w:rsidR="00993070" w:rsidRDefault="00993070" w:rsidP="00993070">
      <w:pPr>
        <w:pStyle w:val="CommentText"/>
      </w:pPr>
      <w:r>
        <w:rPr>
          <w:rStyle w:val="CommentReference"/>
        </w:rPr>
        <w:annotationRef/>
      </w:r>
      <w:r>
        <w:t>1. The methodology chapter</w:t>
      </w:r>
    </w:p>
    <w:p w14:paraId="13FA997F" w14:textId="77777777" w:rsidR="00993070" w:rsidRDefault="00993070" w:rsidP="00993070">
      <w:pPr>
        <w:pStyle w:val="CommentText"/>
      </w:pPr>
      <w:r>
        <w:t>1.1 It is not yet a submissible draft, and it partly knows it</w:t>
      </w:r>
    </w:p>
    <w:p w14:paraId="0FDF5ACE" w14:textId="77777777" w:rsidR="00993070" w:rsidRDefault="00993070" w:rsidP="00993070">
      <w:pPr>
        <w:pStyle w:val="CommentText"/>
      </w:pPr>
      <w:r>
        <w:t>The document opens with what are clearly pasted-in review notes — the "BEYNON SAHIB P1" paragraph, the numbered "Promise / Practice / Severity / Minimum revision" items, the "If no interviews" block. These are working notes to yourself, not chapter prose. They must be either (a) removed and their substance folded into the relevant sections, or (b) migrated into the Researcher Reflexivity and Methodological Limitations section as documented, examiner-facing adaptations. Leaving them in place is the single most damaging thing in the current package.</w:t>
      </w:r>
    </w:p>
    <w:p w14:paraId="06AB571F" w14:textId="77777777" w:rsidR="00993070" w:rsidRDefault="00993070" w:rsidP="00993070">
      <w:pPr>
        <w:pStyle w:val="CommentText"/>
      </w:pPr>
    </w:p>
    <w:p w14:paraId="763A0245" w14:textId="77777777" w:rsidR="00993070" w:rsidRDefault="00993070" w:rsidP="00993070">
      <w:pPr>
        <w:pStyle w:val="CommentText"/>
      </w:pPr>
      <w:r>
        <w:t>Beyond that, the chapter is doubled: most sections appear twice — once as an outline template ("This section explains the overall design…", "Subsections should address…") and once as actual prose. Research Design, Sampling Strategy, and Analytical Framework all exist in both states. And several headers are empty stubs: Process Tracing, Triangulation and Causal Inference, Reception Analysis, Why CDA?, Resonance/Reception Analysis. There are also raw fragments — "This method comprises the what? Of the research in its …", "((((((((((((FRANCOZI VICARI))))))))))))))))", "In a study more focused on". None of this is a problem to fix; it just has to be finished and consolidated into one clean pass.</w:t>
      </w:r>
    </w:p>
    <w:p w14:paraId="2A76123F" w14:textId="77777777" w:rsidR="00993070" w:rsidRDefault="00993070" w:rsidP="00993070">
      <w:pPr>
        <w:pStyle w:val="CommentText"/>
      </w:pPr>
    </w:p>
    <w:p w14:paraId="0EA6B40F" w14:textId="77777777" w:rsidR="00993070" w:rsidRDefault="00993070" w:rsidP="00993070">
      <w:pPr>
        <w:pStyle w:val="CommentText"/>
      </w:pPr>
      <w:r>
        <w:t>1.2 The framework is named two different things</w:t>
      </w:r>
    </w:p>
    <w:p w14:paraId="2C566DA1" w14:textId="77777777" w:rsidR="00993070" w:rsidRDefault="00993070" w:rsidP="00993070">
      <w:pPr>
        <w:pStyle w:val="CommentText"/>
      </w:pPr>
      <w:r>
        <w:t>This one matters and is quick. Your thesis-structure overview calls the framework "Postcolonial-Perspectival Critical Realism (PP-CR)." Your theoretical framework chapter and this methodology both call it "Perspectival Critical Realism (PCR)." The methodology's Methodological Orientation even glosses it as "Perspectival Critical Realism (PCR)" while the introduction of the theory chapter uses PCR throughout. Pick one name and one abbreviation and propagate it everywhere. An examiner who sees PP-CR in your structure and PCR in your chapters will suspect the framework itself is unsettled — which, having passed your upgrade, it is not. Don't let a label imply otherwise. (Given the theory chapter's actual content — Black Studies as ontological anchor, postcolonial/decolonial as heuristic overlays — "Perspectival Critical Realism" is arguably the more accurate name, and "postcolonial" is one input rather than a co-equal. I'd standardise on PCR and say so once, explicitly.)</w:t>
      </w:r>
    </w:p>
    <w:p w14:paraId="0AB88C96" w14:textId="77777777" w:rsidR="00993070" w:rsidRDefault="00993070" w:rsidP="00993070">
      <w:pPr>
        <w:pStyle w:val="CommentText"/>
      </w:pPr>
    </w:p>
    <w:p w14:paraId="64F61AD3" w14:textId="77777777" w:rsidR="00993070" w:rsidRDefault="00993070" w:rsidP="00993070">
      <w:pPr>
        <w:pStyle w:val="CommentText"/>
      </w:pPr>
      <w:r>
        <w:t>1.3 Four promises the methodology makes that Period 1 does not keep</w:t>
      </w:r>
    </w:p>
    <w:p w14:paraId="507003AB" w14:textId="77777777" w:rsidR="00993070" w:rsidRDefault="00993070" w:rsidP="00993070">
      <w:pPr>
        <w:pStyle w:val="CommentText"/>
      </w:pPr>
      <w:r>
        <w:t>These are the ones an examiner will catch. In each case the fix is small and the choice is yours — narrow the promise, or add a short signposted paragraph to the chapter.</w:t>
      </w:r>
    </w:p>
    <w:p w14:paraId="744989FD" w14:textId="77777777" w:rsidR="00993070" w:rsidRDefault="00993070" w:rsidP="00993070">
      <w:pPr>
        <w:pStyle w:val="CommentText"/>
      </w:pPr>
    </w:p>
    <w:p w14:paraId="443FAB11" w14:textId="77777777" w:rsidR="00993070" w:rsidRDefault="00993070" w:rsidP="00993070">
      <w:pPr>
        <w:pStyle w:val="CommentText"/>
      </w:pPr>
      <w:r>
        <w:t>(a) The Fard exclusion. The methodology states plainly that Fard's leadership cannot be analysed "using the methodological tools employed in this study, which rely heavily on traceable rhetorical and organisational materials," and reserves for him only a "foundational analysis" of "primordial frames." Period 1 then runs full diagnostic, prognostic, and motivational frame coding directly on Fard-attributed texts (the SWL, the Problem Book, the two 1933 letters) and devotes an entire ethos subsection to "Fard's ethos is constructed through several mutually reinforcing forms of credibility." This is a direct, checkable contradiction. Resolution: narrow the methodology's claim — state that Fard-attributed textual objects (Lessons, letters, Problem Book) are admissible as sufficiently stable despite contested authorship, and that what is not recoverable is his oral performance and biography. That is in fact the line Period 1 already draws in "Structural Performance Limit"; you just need the methodology to draw it too. Do not scale back the Fard analysis — it's some of the best material in the chapter.</w:t>
      </w:r>
    </w:p>
    <w:p w14:paraId="59928444" w14:textId="77777777" w:rsidR="00993070" w:rsidRDefault="00993070" w:rsidP="00993070">
      <w:pPr>
        <w:pStyle w:val="CommentText"/>
      </w:pPr>
    </w:p>
    <w:p w14:paraId="64E8FD6B" w14:textId="77777777" w:rsidR="00993070" w:rsidRDefault="00993070" w:rsidP="00993070">
      <w:pPr>
        <w:pStyle w:val="CommentText"/>
      </w:pPr>
      <w:r>
        <w:t>(b) Reception as a "causal process" evidenced by interviews. The methodology elevates reception to its own section because "reception is treated as a causal process," to be evidenced through interviews and oral histories. Period 1 has (and can have) no interviews — no living 1930s informants exist — and instead leans repeatedly on Beynon's handful of movement-cooperating converts, frequently in membership-wide language ("members recalled," "members reported," "members became so ashamed"). You already inserted one caveat where Beynon is introduced, but the generalising phrasing recurs in the nomination, name-transformation, and motivational sections without the caveat carried forward. And the chapter's own "PROVISIONAL – Reception and Interpretation" section is still an empty placeholder. Resolution: add a principled statement — ideally in both the methodology's Reception section and once near the top of Period 1 — that for a period with no living informants, reception is evidenced by triangulating Beynon, Sahib, the movement's self-representation, FBI material, and membership/employment indicators, and is used illustratively, not representatively. Then make the phrasing obey that scope ("Beynon's informants reported…" not "members reported…"). This is the highest-value single fix in the whole package because it converts an apparent weakness into a demonstrated methodological control.</w:t>
      </w:r>
    </w:p>
    <w:p w14:paraId="594ECE1B" w14:textId="77777777" w:rsidR="00993070" w:rsidRDefault="00993070" w:rsidP="00993070">
      <w:pPr>
        <w:pStyle w:val="CommentText"/>
      </w:pPr>
    </w:p>
    <w:p w14:paraId="3F45D2A7" w14:textId="77777777" w:rsidR="00993070" w:rsidRDefault="00993070" w:rsidP="00993070">
      <w:pPr>
        <w:pStyle w:val="CommentText"/>
      </w:pPr>
      <w:r>
        <w:t>(c) The two-stage sampling procedure. The methodology describes a pilot of ~30–50 textual units per transition window, expanding to 50–100. Period 1's entire extant corpus is ~15 sources, so the staged procedure was inapplicable and you read the corpus near-exhaustively. This is completely defensible — but right now the chapter is silent and the methodology over-promises. Resolution: a short corpus note early in Period 1 stating the actual scale (~15 sources: SWL, Rules of Instruction, the two letters, FCTI, Beynon, Sahib, FBI files) and that the density-but-thinness of the Period 1 record made staged sampling unnecessary here, with the pilot/expansion logic becoming operative from Period 2 once press runs and recordings expand the base. Also soften the methodology's "not… separate phases" language to match.</w:t>
      </w:r>
    </w:p>
    <w:p w14:paraId="74AF1945" w14:textId="77777777" w:rsidR="00993070" w:rsidRDefault="00993070" w:rsidP="00993070">
      <w:pPr>
        <w:pStyle w:val="CommentText"/>
      </w:pPr>
    </w:p>
    <w:p w14:paraId="7C696CA4" w14:textId="77777777" w:rsidR="00993070" w:rsidRDefault="00993070" w:rsidP="00993070">
      <w:pPr>
        <w:pStyle w:val="CommentText"/>
      </w:pPr>
      <w:r>
        <w:t>(d) Frame alignment processes (amplification / bridging / extension) and software. The methodology commits to analysing frame amplification, bridging, and extension "especially during periods of transition," and floats NVivo/Atlas.ti. Period 1 uses "frame bridging," "narrative inversion," and "frame transformation" in passing but never systematically applies the alignment repertoire to the one transition it contains — Fard→Elijah — and never mentions software. Given that leadership transition is the thesis's central object, this is a missed opportunity as much as an inconsistency (see 2.2 below). Resolution: either drop the software commitment and trim the alignment-process promise, or — better — add one signposted passage applying at least amplification/extension to the Fard→Elijah succession.</w:t>
      </w:r>
    </w:p>
    <w:p w14:paraId="7379C417" w14:textId="77777777" w:rsidR="00993070" w:rsidRDefault="00993070" w:rsidP="00993070">
      <w:pPr>
        <w:pStyle w:val="CommentText"/>
      </w:pPr>
    </w:p>
    <w:p w14:paraId="21649194" w14:textId="77777777" w:rsidR="00993070" w:rsidRDefault="00993070" w:rsidP="00993070">
      <w:pPr>
        <w:pStyle w:val="CommentText"/>
      </w:pPr>
      <w:r>
        <w:t>1.4 Smaller methodology matters</w:t>
      </w:r>
    </w:p>
    <w:p w14:paraId="2A31B1E9" w14:textId="77777777" w:rsidR="00993070" w:rsidRDefault="00993070" w:rsidP="00993070">
      <w:pPr>
        <w:pStyle w:val="CommentText"/>
      </w:pPr>
      <w:r>
        <w:t>The temporal scope is internally inconsistent: the periodisation says Period 1 runs "1930 to 1951" and case selection includes Fard, but the Temporal Scope section says the study covers "1934 to 1995" and lists the longitudinal figures as "Elijah Muhammad, Warith Deen Mohammed, and Louis Farrakhan" — dropping Fard and starting at 1934. Period 1's own first line says "begins organisationally in 1930." Reconcile 1930 vs 1934 and decide whether Fard is in or out of the longitudinal frame (he's plainly in).</w:t>
      </w:r>
    </w:p>
    <w:p w14:paraId="378B7DF1" w14:textId="77777777" w:rsidR="00993070" w:rsidRDefault="00993070" w:rsidP="00993070">
      <w:pPr>
        <w:pStyle w:val="CommentText"/>
      </w:pPr>
      <w:r>
        <w:t>The ethics/interviews apparatus (Chicago fieldwork, verbal consent, gatekeepers, snowball recruitment) is fully specified, which is good — but it now describes a component that contributes nothing to Period 1 and, by your own account, will only bear on later periods. Signal that explicitly so the examiner doesn't expect interview data in the chapter they're about to read.</w:t>
      </w:r>
    </w:p>
  </w:comment>
  <w:comment w:id="1" w:author="Daniyal Burney" w:date="2026-08-18T16:30:00Z" w:initials="DB">
    <w:p w14:paraId="5AFD52F8" w14:textId="77777777" w:rsidR="00F157E8" w:rsidRDefault="00F157E8" w:rsidP="00F157E8">
      <w:pPr>
        <w:pStyle w:val="CommentText"/>
      </w:pPr>
      <w:r>
        <w:rPr>
          <w:rStyle w:val="CommentReference"/>
        </w:rPr>
        <w:annotationRef/>
      </w:r>
      <w:r>
        <w:t>p1</w:t>
      </w:r>
    </w:p>
  </w:comment>
  <w:comment w:id="2" w:author="Daniyal Burney" w:date="2026-08-18T16:49:00Z" w:initials="DB">
    <w:p w14:paraId="56775E80" w14:textId="77777777" w:rsidR="00550E03" w:rsidRDefault="00550E03" w:rsidP="00550E03">
      <w:pPr>
        <w:pStyle w:val="CommentText"/>
      </w:pPr>
      <w:r>
        <w:rPr>
          <w:rStyle w:val="CommentReference"/>
        </w:rPr>
        <w:annotationRef/>
      </w:r>
      <w:r>
        <w:t>Mention p1 lack of this</w:t>
      </w:r>
    </w:p>
  </w:comment>
  <w:comment w:id="3" w:author="Daniyal Burney" w:date="2026-08-18T16:49:00Z" w:initials="DB">
    <w:p w14:paraId="1D6FB03E" w14:textId="77777777" w:rsidR="003B0001" w:rsidRDefault="003B0001" w:rsidP="003B0001">
      <w:pPr>
        <w:pStyle w:val="CommentText"/>
      </w:pPr>
      <w:r>
        <w:rPr>
          <w:rStyle w:val="CommentReference"/>
        </w:rPr>
        <w:annotationRef/>
      </w:r>
      <w:r>
        <w:t>Or mention it where relveant in p1</w:t>
      </w:r>
    </w:p>
  </w:comment>
  <w:comment w:id="4" w:author="Daniyal Burney" w:date="2026-08-18T16:50:00Z" w:initials="DB">
    <w:p w14:paraId="37AD08B5" w14:textId="77777777" w:rsidR="00B3145A" w:rsidRDefault="00B3145A" w:rsidP="00B3145A">
      <w:pPr>
        <w:pStyle w:val="CommentText"/>
      </w:pPr>
      <w:r>
        <w:rPr>
          <w:rStyle w:val="CommentReference"/>
        </w:rPr>
        <w:annotationRef/>
      </w:r>
      <w:r>
        <w:t>Detail in methodology how many for pilot, main, and total</w:t>
      </w:r>
    </w:p>
  </w:comment>
  <w:comment w:id="5" w:author="Daniyal Burney" w:date="2026-03-12T15:03:00Z" w:initials="DB">
    <w:p w14:paraId="0A320A41" w14:textId="77777777" w:rsidR="00A85309" w:rsidRDefault="00A85309" w:rsidP="00A85309">
      <w:pPr>
        <w:pStyle w:val="CommentText"/>
      </w:pPr>
      <w:r>
        <w:rPr>
          <w:rStyle w:val="CommentReference"/>
        </w:rPr>
        <w:annotationRef/>
      </w:r>
      <w:r>
        <w:t>CHANGE MAYBE IN RELATION TO M/A IMPLICATIONS</w:t>
      </w:r>
    </w:p>
  </w:comment>
  <w:comment w:id="7" w:author="Daniyal Burney" w:date="2025-08-06T14:27:00Z" w:initials="DB">
    <w:p w14:paraId="2907DCD3" w14:textId="130D1ED6" w:rsidR="00582CFF" w:rsidRDefault="00582CFF" w:rsidP="00582CFF">
      <w:pPr>
        <w:pStyle w:val="CommentText"/>
      </w:pPr>
      <w:r>
        <w:rPr>
          <w:rStyle w:val="CommentReference"/>
        </w:rPr>
        <w:annotationRef/>
      </w:r>
      <w:r>
        <w:t>Explain your overall approach (qualitative, historically oriented, multi-method) and why it fits your research aims. Briefly introduce the combination of CDA, frame analysis, and rhetorical criticism, noting that the rationale will be expanded later.</w:t>
      </w:r>
    </w:p>
  </w:comment>
  <w:comment w:id="8" w:author="Daniyal Burney" w:date="2025-08-15T14:17:00Z" w:initials="DB">
    <w:p w14:paraId="72E77A69" w14:textId="77777777" w:rsidR="00FF4B0D" w:rsidRDefault="00FF4B0D" w:rsidP="00FF4B0D">
      <w:pPr>
        <w:pStyle w:val="CommentText"/>
      </w:pPr>
      <w:r>
        <w:rPr>
          <w:rStyle w:val="CommentReference"/>
        </w:rPr>
        <w:annotationRef/>
      </w:r>
      <w:r>
        <w:t>Why Qualitative?</w:t>
      </w:r>
    </w:p>
  </w:comment>
  <w:comment w:id="9" w:author="Daniyal Burney" w:date="2025-08-15T14:17:00Z" w:initials="DB">
    <w:p w14:paraId="21418BC8" w14:textId="77777777" w:rsidR="00F67BD3" w:rsidRDefault="00F67BD3" w:rsidP="00F67BD3">
      <w:pPr>
        <w:pStyle w:val="CommentText"/>
      </w:pPr>
      <w:r>
        <w:rPr>
          <w:rStyle w:val="CommentReference"/>
        </w:rPr>
        <w:annotationRef/>
      </w:r>
      <w:r>
        <w:t>Why case study?</w:t>
      </w:r>
      <w:r>
        <w:br/>
      </w:r>
      <w:r>
        <w:br/>
        <w:t>Why single case study? / Why within single case study?</w:t>
      </w:r>
    </w:p>
  </w:comment>
  <w:comment w:id="6" w:author="Daniyal Burney" w:date="2026-03-12T14:07:00Z" w:initials="DB">
    <w:p w14:paraId="3BDEBC5C" w14:textId="77777777" w:rsidR="00CB2ED8" w:rsidRDefault="00CB2ED8" w:rsidP="00CB2ED8">
      <w:pPr>
        <w:pStyle w:val="CommentText"/>
      </w:pPr>
      <w:r>
        <w:rPr>
          <w:rStyle w:val="CommentReference"/>
        </w:rPr>
        <w:annotationRef/>
      </w:r>
      <w:r>
        <w:t>Maybe the overarching section</w:t>
      </w:r>
    </w:p>
  </w:comment>
  <w:comment w:id="10" w:author="Daniyal Burney" w:date="2026-03-13T14:44:00Z" w:initials="DB">
    <w:p w14:paraId="6724BA98" w14:textId="77777777" w:rsidR="00101DCC" w:rsidRDefault="00101DCC" w:rsidP="00101DCC">
      <w:pPr>
        <w:pStyle w:val="CommentText"/>
      </w:pPr>
      <w:r>
        <w:rPr>
          <w:rStyle w:val="CommentReference"/>
        </w:rPr>
        <w:annotationRef/>
      </w:r>
      <w:r>
        <w:t>This project investigates how both official and vernacular BDS activist-rhetors frame the movement and their goals, how they frame their responses to evolving rhetorical situations and challenges, how they tailor these frames for different audiences, and how resonant these frames are likely to be for targeted audiences.</w:t>
      </w:r>
    </w:p>
  </w:comment>
  <w:comment w:id="11" w:author="Daniyal Burney" w:date="2025-08-05T14:55:00Z" w:initials="DB">
    <w:p w14:paraId="60005118" w14:textId="0A85F687" w:rsidR="007A37D7" w:rsidRDefault="007A37D7" w:rsidP="007A37D7">
      <w:pPr>
        <w:pStyle w:val="CommentText"/>
      </w:pPr>
      <w:r>
        <w:rPr>
          <w:rStyle w:val="CommentReference"/>
        </w:rPr>
        <w:annotationRef/>
      </w:r>
      <w:r>
        <w:t>Ref for approach</w:t>
      </w:r>
    </w:p>
  </w:comment>
  <w:comment w:id="12" w:author="Daniyal Burney" w:date="2025-08-05T15:14:00Z" w:initials="DB">
    <w:p w14:paraId="72381476" w14:textId="77777777" w:rsidR="00C32FB8" w:rsidRDefault="00C32FB8" w:rsidP="00C32FB8">
      <w:pPr>
        <w:pStyle w:val="CommentText"/>
      </w:pPr>
      <w:r>
        <w:rPr>
          <w:rStyle w:val="CommentReference"/>
        </w:rPr>
        <w:annotationRef/>
      </w:r>
      <w:r>
        <w:t>Refine / decide on particular RC method</w:t>
      </w:r>
    </w:p>
  </w:comment>
  <w:comment w:id="13" w:author="Daniyal Burney" w:date="2025-08-06T14:30:00Z" w:initials="DB">
    <w:p w14:paraId="0252DEF9" w14:textId="77777777" w:rsidR="0042123B" w:rsidRDefault="0042123B" w:rsidP="0042123B">
      <w:pPr>
        <w:pStyle w:val="CommentText"/>
      </w:pPr>
      <w:r>
        <w:rPr>
          <w:rStyle w:val="CommentReference"/>
        </w:rPr>
        <w:annotationRef/>
      </w:r>
      <w:r>
        <w:t>Describe how you selected leaders, periods, and texts (e.g. speeches, newspapers, archival material), and the reasoning behind these choices.</w:t>
      </w:r>
    </w:p>
  </w:comment>
  <w:comment w:id="14" w:author="Daniyal Burney" w:date="2025-08-13T14:15:00Z" w:initials="DB">
    <w:p w14:paraId="19ABE4F4" w14:textId="77777777" w:rsidR="008C3858" w:rsidRDefault="008C3858" w:rsidP="008C3858">
      <w:pPr>
        <w:pStyle w:val="CommentText"/>
      </w:pPr>
      <w:r>
        <w:rPr>
          <w:rStyle w:val="CommentReference"/>
        </w:rPr>
        <w:annotationRef/>
      </w:r>
      <w:r>
        <w:t xml:space="preserve">A comparative, longitudinal, multi‑modal discourse and frame analysis will assemble parallel corpora for each leadership era (sermons and Saviours’ Day addresses; Muhammad Speaks and The Final Call; legal/courtroom texts and prison petitions), enabling systematic coding of frames and legitimating vocabularies across leaders and venues. Prior studies demonstrate both the centrality and availability of these sources; this project’s novelty is to integrate them diachronically and comparatively rather than in isolation </w:t>
      </w:r>
    </w:p>
    <w:p w14:paraId="727B34E3" w14:textId="77777777" w:rsidR="008C3858" w:rsidRDefault="008C3858" w:rsidP="008C3858">
      <w:pPr>
        <w:pStyle w:val="CommentText"/>
      </w:pPr>
      <w:r>
        <w:t xml:space="preserve"> </w:t>
      </w:r>
    </w:p>
    <w:p w14:paraId="2AE06D04" w14:textId="77777777" w:rsidR="008C3858" w:rsidRDefault="008C3858" w:rsidP="008C3858">
      <w:pPr>
        <w:pStyle w:val="CommentText"/>
      </w:pPr>
      <w:r>
        <w:t xml:space="preserve">Periodization will anchor around the 1975 succession and the 1977 reconstitution to test for discursive “re‑keying,” while maintaining strict lineage distinction between W. D. Mohammed’s ASO(M) and Farrakhan’s NOI—a best practice underscored in transition analyses </w:t>
      </w:r>
    </w:p>
  </w:comment>
  <w:comment w:id="15" w:author="Daniyal Burney" w:date="2025-08-14T16:16:00Z" w:initials="DB">
    <w:p w14:paraId="0F384780" w14:textId="77777777" w:rsidR="00836400" w:rsidRDefault="00836400" w:rsidP="00836400">
      <w:pPr>
        <w:pStyle w:val="CommentText"/>
      </w:pPr>
      <w:r>
        <w:rPr>
          <w:rStyle w:val="CommentReference"/>
        </w:rPr>
        <w:annotationRef/>
      </w:r>
      <w:r>
        <w:rPr>
          <w:color w:val="4472C4"/>
        </w:rPr>
        <w:t>The compelling charisma and leadership of the Honourable Elijah Muhammad deeply resonated with hundreds of thousands of African Americans, drawing them in through his rhetoric and the carefully constructed frames he presented. Following Elijah Muhammad's passing, this influential leadership did not wane, particularly with the emergence of Farrakhan. Farrakhan, to this day, continues to carry forward the mantle of charisma to remarkable extents, maintaining an influential and alluring presence that has sustained the movement's impact and resonance within contemporary contexts.</w:t>
      </w:r>
    </w:p>
  </w:comment>
  <w:comment w:id="16" w:author="Daniyal Burney" w:date="2026-03-12T15:08:00Z" w:initials="DB">
    <w:p w14:paraId="1B2B785C" w14:textId="77777777" w:rsidR="0051555D" w:rsidRDefault="0051555D" w:rsidP="0051555D">
      <w:pPr>
        <w:pStyle w:val="CommentText"/>
      </w:pPr>
      <w:r>
        <w:rPr>
          <w:rStyle w:val="CommentReference"/>
        </w:rPr>
        <w:annotationRef/>
      </w:r>
      <w:r>
        <w:t>HOW MANY SOURCES PER WINDOW?</w:t>
      </w:r>
    </w:p>
  </w:comment>
  <w:comment w:id="17" w:author="Daniyal Burney" w:date="2026-03-11T16:29:00Z" w:initials="DB">
    <w:p w14:paraId="1049C7FF" w14:textId="77777777" w:rsidR="00A20A30" w:rsidRDefault="00A20A30" w:rsidP="00A20A30">
      <w:pPr>
        <w:pStyle w:val="CommentText"/>
      </w:pPr>
      <w:r>
        <w:rPr>
          <w:rStyle w:val="CommentReference"/>
        </w:rPr>
        <w:annotationRef/>
      </w:r>
      <w:r>
        <w:t>ref</w:t>
      </w:r>
    </w:p>
  </w:comment>
  <w:comment w:id="18" w:author="Daniyal Burney" w:date="2026-03-13T13:02:00Z" w:initials="DB">
    <w:p w14:paraId="0427BE46" w14:textId="77777777" w:rsidR="00735E72" w:rsidRDefault="00735E72" w:rsidP="00735E72">
      <w:pPr>
        <w:pStyle w:val="CommentText"/>
      </w:pPr>
      <w:r>
        <w:rPr>
          <w:rStyle w:val="CommentReference"/>
        </w:rPr>
        <w:annotationRef/>
      </w:r>
      <w:r>
        <w:t>•</w:t>
      </w:r>
      <w:r>
        <w:tab/>
        <w:t>How comparability across periods is preserved despite different historical conditions.</w:t>
      </w:r>
    </w:p>
  </w:comment>
  <w:comment w:id="19" w:author="Daniyal Burney" w:date="2026-03-13T14:59:00Z" w:initials="DB">
    <w:p w14:paraId="729B22AD" w14:textId="77777777" w:rsidR="00FA3A26" w:rsidRDefault="00FA3A26" w:rsidP="00FA3A26">
      <w:pPr>
        <w:pStyle w:val="CommentText"/>
      </w:pPr>
      <w:r>
        <w:rPr>
          <w:rStyle w:val="CommentReference"/>
        </w:rPr>
        <w:annotationRef/>
      </w:r>
      <w:r>
        <w:t>How do these discursive texts “define problems, diagnose causes, make moral judgments, and suggest remedies”? (Kuypers, “Framing Analysis” in Rhetorical Criticism 195).</w:t>
      </w:r>
    </w:p>
  </w:comment>
  <w:comment w:id="20" w:author="Daniyal Burney" w:date="2026-03-13T14:59:00Z" w:initials="DB">
    <w:p w14:paraId="7276946A" w14:textId="77777777" w:rsidR="004F3E8A" w:rsidRDefault="004F3E8A" w:rsidP="004F3E8A">
      <w:pPr>
        <w:pStyle w:val="CommentText"/>
      </w:pPr>
      <w:r>
        <w:rPr>
          <w:rStyle w:val="CommentReference"/>
        </w:rPr>
        <w:annotationRef/>
      </w:r>
      <w:r>
        <w:t>How do BDS activist-rhetors use language and framing to try to compel their audiences to identify with the movement and with the Palestinian struggle? (Social movement criticism: Cathcart; Burke. Frame analysis: Benford and Snow 631; Gamson, “Constructing” 90).</w:t>
      </w:r>
    </w:p>
  </w:comment>
  <w:comment w:id="21" w:author="Daniyal Burney" w:date="2026-03-13T15:00:00Z" w:initials="DB">
    <w:p w14:paraId="6908EE56" w14:textId="77777777" w:rsidR="002731A2" w:rsidRDefault="002731A2" w:rsidP="002731A2">
      <w:pPr>
        <w:pStyle w:val="CommentText"/>
      </w:pPr>
      <w:r>
        <w:rPr>
          <w:rStyle w:val="CommentReference"/>
        </w:rPr>
        <w:annotationRef/>
      </w:r>
      <w:r>
        <w:t>How does pro-BDS discourse use “counterframing” to respond to the frequent charges of anti-Semitism and that BDS is a “war by other means” seeking to “destroy” Israel? (Benford and Snow 617).</w:t>
      </w:r>
    </w:p>
    <w:p w14:paraId="18C58DF1" w14:textId="77777777" w:rsidR="002731A2" w:rsidRDefault="002731A2" w:rsidP="002731A2">
      <w:pPr>
        <w:pStyle w:val="CommentText"/>
      </w:pPr>
      <w:r>
        <w:t>How do pro-BDS rhetors use pathos or emotional language and appeals to motivate potential supporters and audiences? (Snow et al., “The Framing Perspective” 397; Aristotle)</w:t>
      </w:r>
    </w:p>
  </w:comment>
  <w:comment w:id="22" w:author="Daniyal Burney" w:date="2026-03-13T15:00:00Z" w:initials="DB">
    <w:p w14:paraId="394D67D8" w14:textId="77777777" w:rsidR="00C95581" w:rsidRDefault="00C95581" w:rsidP="00C95581">
      <w:pPr>
        <w:pStyle w:val="CommentText"/>
      </w:pPr>
      <w:r>
        <w:rPr>
          <w:rStyle w:val="CommentReference"/>
        </w:rPr>
        <w:annotationRef/>
      </w:r>
      <w:r>
        <w:t xml:space="preserve">discourses of resistance to power need to be able to break through the dominant narratives and framing to persuade intended audiences. </w:t>
      </w:r>
    </w:p>
  </w:comment>
  <w:comment w:id="23" w:author="Daniyal Burney" w:date="2026-03-11T16:36:00Z" w:initials="DB">
    <w:p w14:paraId="3051341C" w14:textId="77777777" w:rsidR="00180D04" w:rsidRDefault="00180D04" w:rsidP="00180D04">
      <w:pPr>
        <w:pStyle w:val="CommentText"/>
      </w:pPr>
      <w:r>
        <w:rPr>
          <w:rStyle w:val="CommentReference"/>
        </w:rPr>
        <w:annotationRef/>
      </w:r>
      <w:r>
        <w:t>Subheadings?</w:t>
      </w:r>
    </w:p>
  </w:comment>
  <w:comment w:id="24" w:author="Daniyal Burney" w:date="2025-08-05T18:39:00Z" w:initials="DB">
    <w:p w14:paraId="2F6853E2" w14:textId="77777777" w:rsidR="00180D04" w:rsidRDefault="00180D04" w:rsidP="00D748E7">
      <w:pPr>
        <w:pStyle w:val="CommentText"/>
      </w:pPr>
      <w:r>
        <w:rPr>
          <w:rStyle w:val="CommentReference"/>
        </w:rPr>
        <w:annotationRef/>
      </w:r>
      <w:r>
        <w:t>Ref regarding significance / impact / prominence</w:t>
      </w:r>
    </w:p>
  </w:comment>
  <w:comment w:id="25" w:author="Daniyal Burney" w:date="2026-03-13T13:11:00Z" w:initials="DB">
    <w:p w14:paraId="2A8CBEF3" w14:textId="77777777" w:rsidR="00357EA3" w:rsidRDefault="00357EA3" w:rsidP="00357EA3">
      <w:pPr>
        <w:pStyle w:val="CommentText"/>
      </w:pPr>
      <w:r>
        <w:rPr>
          <w:rStyle w:val="CommentReference"/>
        </w:rPr>
        <w:annotationRef/>
      </w:r>
      <w:r>
        <w:t>•</w:t>
      </w:r>
      <w:r>
        <w:tab/>
        <w:t>How you sample for variation in rhetorical form, not only frequency.</w:t>
      </w:r>
    </w:p>
    <w:p w14:paraId="74864325" w14:textId="77777777" w:rsidR="00357EA3" w:rsidRDefault="00357EA3" w:rsidP="00357EA3">
      <w:pPr>
        <w:pStyle w:val="CommentText"/>
      </w:pPr>
      <w:r>
        <w:t>•</w:t>
      </w:r>
      <w:r>
        <w:tab/>
        <w:t>How you ensure coverage of key moments of transition, crisis, consolidation, and recall.</w:t>
      </w:r>
    </w:p>
    <w:p w14:paraId="5DCADE99" w14:textId="77777777" w:rsidR="00357EA3" w:rsidRDefault="00357EA3" w:rsidP="00357EA3">
      <w:pPr>
        <w:pStyle w:val="CommentText"/>
      </w:pPr>
      <w:r>
        <w:t>•</w:t>
      </w:r>
      <w:r>
        <w:tab/>
        <w:t>How you select texts that show interaction between leader performance and organisational mediation.</w:t>
      </w:r>
    </w:p>
    <w:p w14:paraId="75EB77C3" w14:textId="77777777" w:rsidR="00357EA3" w:rsidRDefault="00357EA3" w:rsidP="00357EA3">
      <w:pPr>
        <w:pStyle w:val="CommentText"/>
      </w:pPr>
      <w:r>
        <w:t>•</w:t>
      </w:r>
      <w:r>
        <w:tab/>
        <w:t>How interviews, where used, are sampled for reception and reinterpretation rather than factual recall.</w:t>
      </w:r>
    </w:p>
  </w:comment>
  <w:comment w:id="26" w:author="Daniyal Burney" w:date="2025-08-13T13:34:00Z" w:initials="DB">
    <w:p w14:paraId="26FBD258" w14:textId="77777777" w:rsidR="00CE773F" w:rsidRDefault="00CE773F" w:rsidP="00CE773F">
      <w:pPr>
        <w:pStyle w:val="CommentText"/>
      </w:pPr>
      <w:r>
        <w:rPr>
          <w:rStyle w:val="CommentReference"/>
        </w:rPr>
        <w:annotationRef/>
      </w:r>
      <w:r>
        <w:rPr>
          <w:b/>
          <w:bCs/>
        </w:rPr>
        <w:t>2. Incorporating ‘narrative inversion’ and counterpublic strategies as part of frame construction</w:t>
      </w:r>
      <w:r>
        <w:br/>
        <w:t xml:space="preserve">Work by Acevedo et al. identifies </w:t>
      </w:r>
      <w:r>
        <w:rPr>
          <w:i/>
          <w:iCs/>
        </w:rPr>
        <w:t>narrative inversion</w:t>
      </w:r>
      <w:r>
        <w:t xml:space="preserve"> as a tactical framing device used by early NOI leaders to invert dominant American and Judeo-Christian master narratives. Positioning this as one of the rhetorical strategies you will track over leadership transitions would root your study in an existing analytic vocabulary.</w:t>
      </w:r>
    </w:p>
    <w:p w14:paraId="1E04640D" w14:textId="77777777" w:rsidR="00CE773F" w:rsidRDefault="00CE773F" w:rsidP="00CE773F">
      <w:pPr>
        <w:pStyle w:val="CommentText"/>
      </w:pPr>
    </w:p>
  </w:comment>
  <w:comment w:id="27" w:author="Daniyal Burney" w:date="2025-08-14T16:15:00Z" w:initials="DB">
    <w:p w14:paraId="2878CAE8" w14:textId="77777777" w:rsidR="00B503D9" w:rsidRDefault="00B503D9" w:rsidP="00B503D9">
      <w:pPr>
        <w:pStyle w:val="CommentText"/>
      </w:pPr>
      <w:r>
        <w:rPr>
          <w:rStyle w:val="CommentReference"/>
        </w:rPr>
        <w:annotationRef/>
      </w:r>
      <w:r>
        <w:rPr>
          <w:color w:val="156082"/>
        </w:rPr>
        <w:t>Similarly, examining the NOI part-through the lens of social movement theory represents an underexplored avenue in literature. This approach holds promise in shedding light on the organisation's capacity to mobilise a significant number of African Americans. This includes individuals from urban and rural environments, displaying a diverse array of socioeconomic statuses and educational backgrounds. This analytical framework enables a more profound understanding of the movement's operational and mobilisation strategies.</w:t>
      </w:r>
    </w:p>
  </w:comment>
  <w:comment w:id="28" w:author="Daniyal Burney" w:date="2026-03-13T13:16:00Z" w:initials="DB">
    <w:p w14:paraId="1C06B0E4" w14:textId="77777777" w:rsidR="000B117F" w:rsidRDefault="000B117F" w:rsidP="000B117F">
      <w:pPr>
        <w:pStyle w:val="CommentText"/>
      </w:pPr>
      <w:r>
        <w:rPr>
          <w:rStyle w:val="CommentReference"/>
        </w:rPr>
        <w:annotationRef/>
      </w:r>
      <w:r>
        <w:t>•</w:t>
      </w:r>
      <w:r>
        <w:tab/>
        <w:t>How you code diagnostic, prognostic, motivational, and identity frames.</w:t>
      </w:r>
    </w:p>
    <w:p w14:paraId="47BCCC81" w14:textId="77777777" w:rsidR="000B117F" w:rsidRDefault="000B117F" w:rsidP="000B117F">
      <w:pPr>
        <w:pStyle w:val="CommentText"/>
      </w:pPr>
      <w:r>
        <w:t>•</w:t>
      </w:r>
      <w:r>
        <w:tab/>
        <w:t>How rhetorical criticism captures cadence, staging, narrative, symbolism, and moral positioning.</w:t>
      </w:r>
    </w:p>
    <w:p w14:paraId="30FE5B1D" w14:textId="77777777" w:rsidR="000B117F" w:rsidRDefault="000B117F" w:rsidP="000B117F">
      <w:pPr>
        <w:pStyle w:val="CommentText"/>
      </w:pPr>
      <w:r>
        <w:t>•</w:t>
      </w:r>
      <w:r>
        <w:tab/>
        <w:t>How masculinity, authority, and discipline are operationalised as analytical categories.</w:t>
      </w:r>
    </w:p>
    <w:p w14:paraId="28F6127E" w14:textId="77777777" w:rsidR="000B117F" w:rsidRDefault="000B117F" w:rsidP="000B117F">
      <w:pPr>
        <w:pStyle w:val="CommentText"/>
      </w:pPr>
      <w:r>
        <w:t>•</w:t>
      </w:r>
      <w:r>
        <w:tab/>
        <w:t>How performance elements such as dress, ritual, and organisational choreography enter coding.</w:t>
      </w:r>
    </w:p>
  </w:comment>
  <w:comment w:id="29" w:author="Daniyal Burney" w:date="2025-08-06T14:33:00Z" w:initials="DB">
    <w:p w14:paraId="7656EA7C" w14:textId="7A60D442" w:rsidR="00C5318F" w:rsidRDefault="00CA00AC" w:rsidP="00C5318F">
      <w:pPr>
        <w:pStyle w:val="CommentText"/>
      </w:pPr>
      <w:r>
        <w:rPr>
          <w:rStyle w:val="CommentReference"/>
        </w:rPr>
        <w:annotationRef/>
      </w:r>
      <w:r w:rsidR="00C5318F">
        <w:t>Review literature that supports your choice of methods.</w:t>
      </w:r>
    </w:p>
    <w:p w14:paraId="7F6E9766" w14:textId="77777777" w:rsidR="00C5318F" w:rsidRDefault="00C5318F" w:rsidP="00C5318F">
      <w:pPr>
        <w:pStyle w:val="CommentText"/>
      </w:pPr>
      <w:r>
        <w:br/>
        <w:t>Explain why CDA (with chosen sub-approaches), frame analysis, and rhetorical criticism are appropriate.</w:t>
      </w:r>
    </w:p>
    <w:p w14:paraId="50B30F47" w14:textId="77777777" w:rsidR="00C5318F" w:rsidRDefault="00C5318F" w:rsidP="00C5318F">
      <w:pPr>
        <w:pStyle w:val="CommentText"/>
      </w:pPr>
    </w:p>
    <w:p w14:paraId="726EE61E" w14:textId="77777777" w:rsidR="00C5318F" w:rsidRDefault="00C5318F" w:rsidP="00C5318F">
      <w:pPr>
        <w:pStyle w:val="CommentText"/>
      </w:pPr>
      <w:r>
        <w:t>Clarify how each method contributes to answering your research questions.</w:t>
      </w:r>
    </w:p>
  </w:comment>
  <w:comment w:id="30" w:author="Daniyal Burney" w:date="2026-03-13T14:45:00Z" w:initials="DB">
    <w:p w14:paraId="60EA387E" w14:textId="77777777" w:rsidR="005468FE" w:rsidRDefault="005468FE" w:rsidP="005468FE">
      <w:pPr>
        <w:pStyle w:val="CommentText"/>
      </w:pPr>
      <w:r>
        <w:rPr>
          <w:rStyle w:val="CommentReference"/>
        </w:rPr>
        <w:annotationRef/>
      </w:r>
      <w:r>
        <w:t>Before settling on frame analysis as a central part of my rhetorical analysis methodology, I examined other aspects of rhetorical theory and methods for analysis. Because the BDS movement is part of a larger transnational social movement for Palestinian rights, social movement criticism, sometimes also called movement rhetorics or movement studies, would be the methodology and subfield of rhetorical studies most relevant to the study of pro-BDS discourse. Brock links social movement criticism with other sociological approaches, including sociolinguistic, feminist, and generic approaches (21). Cathcart asserts that movements themselves are rhetorical acts, and so understanding the rhetoric of a social movement will enable scholars to understand the movement itself and the ways movements use language to induce individuals in the audience to identify with the movement (361).[</w:t>
      </w:r>
    </w:p>
  </w:comment>
  <w:comment w:id="31" w:author="Daniyal Burney" w:date="2026-03-13T14:45:00Z" w:initials="DB">
    <w:p w14:paraId="5B89ADA6" w14:textId="77777777" w:rsidR="005A6F2D" w:rsidRDefault="005A6F2D" w:rsidP="005A6F2D">
      <w:pPr>
        <w:pStyle w:val="CommentText"/>
      </w:pPr>
      <w:r>
        <w:rPr>
          <w:rStyle w:val="CommentReference"/>
        </w:rPr>
        <w:annotationRef/>
      </w:r>
      <w:r>
        <w:t>According to Griffin, in order to analyze a rhetorical movement, it needs to be “isolated, analyzed, evaluated, and described, so that [the critic] can say, for the particular historical movement which he investigates: this was the pattern of public discussion, the configuration of discourse, the physiognomy of persuasion, peculiar to the movement” (185). There are multiple approaches within movement criticism, and Riches and Sillars admit that rhetorical movement studies lack a clear form, definition, or methodology (287).</w:t>
      </w:r>
    </w:p>
    <w:p w14:paraId="4BD79D09" w14:textId="77777777" w:rsidR="005A6F2D" w:rsidRDefault="005A6F2D" w:rsidP="005A6F2D">
      <w:pPr>
        <w:pStyle w:val="CommentText"/>
      </w:pPr>
      <w:r>
        <w:t>Stevens and Malesh’s Active Voices: Composing a Rhetoric of Social Movements. In their introduction, Malesh and Stevens review some of the multidisciplinary theories relevant to the rhetorical study of social movements and argue for the inclusion of framing analysis to “offer an interdisciplinary portal through which rhetoricians can engage social movement scholarship” (10)</w:t>
      </w:r>
    </w:p>
    <w:p w14:paraId="29B0330B" w14:textId="77777777" w:rsidR="005A6F2D" w:rsidRDefault="005A6F2D" w:rsidP="005A6F2D">
      <w:pPr>
        <w:pStyle w:val="CommentText"/>
      </w:pPr>
      <w:r>
        <w:t>“to account for how individuals come to align their often apparently divergent understandings into shared interpretations that can support collective action” (10). From this first brief account of frame analysis, I then investigated social movement frame analysis scholarship more in depth and determined that it could be fruitfully combined with some other concepts and methods from rhetorical theory to serve as a useful method for answering my research questions.</w:t>
      </w:r>
    </w:p>
    <w:p w14:paraId="67A2FF7D" w14:textId="77777777" w:rsidR="005A6F2D" w:rsidRDefault="005A6F2D" w:rsidP="005A6F2D">
      <w:pPr>
        <w:pStyle w:val="CommentText"/>
      </w:pPr>
      <w:r>
        <w:t>While rhetorical analysis is useful for attending to rhetorical situation, audience, and other aspects of discourse and language use in context, frame analysis can reveal the underlying frames that have come to be regarded “as a central dynamic in understanding the character and course of social movements” (Benford and Snow 611).</w:t>
      </w:r>
    </w:p>
    <w:p w14:paraId="63A4ED58" w14:textId="77777777" w:rsidR="005A6F2D" w:rsidRDefault="005A6F2D" w:rsidP="005A6F2D">
      <w:pPr>
        <w:pStyle w:val="CommentText"/>
      </w:pPr>
      <w:r>
        <w:t>My use of “discourse” adheres to Foucault’s use of the term, which includes multiple texts of different formats that represent a community of speakers, sometimes called a “discourse community,” that produces, maintains, and polices what counts as truth or not (Foucault).</w:t>
      </w:r>
    </w:p>
  </w:comment>
  <w:comment w:id="32" w:author="Daniyal Burney" w:date="2026-03-13T15:00:00Z" w:initials="DB">
    <w:p w14:paraId="758B6F28" w14:textId="77777777" w:rsidR="00C72A4B" w:rsidRDefault="00C72A4B" w:rsidP="00C72A4B">
      <w:pPr>
        <w:pStyle w:val="CommentText"/>
      </w:pPr>
      <w:r>
        <w:rPr>
          <w:rStyle w:val="CommentReference"/>
        </w:rPr>
        <w:annotationRef/>
      </w:r>
      <w:r>
        <w:t>Frames point people to a particular understanding of the answer to “what is it that’s going on here?” (Goffman 8). Goffman describes “frame analysis” as “the examination in these terms of the organization of experience” (11). Zald refers to frames as “the specific metaphors, symbolic representations, and cognitive cues used to render or cast behavior and events in an evaluative mode and to suggest alternative modes of action” (262).</w:t>
      </w:r>
    </w:p>
  </w:comment>
  <w:comment w:id="33" w:author="Daniyal Burney" w:date="2026-03-13T15:01:00Z" w:initials="DB">
    <w:p w14:paraId="5EE1D898" w14:textId="77777777" w:rsidR="00B51429" w:rsidRDefault="00B51429" w:rsidP="00B51429">
      <w:pPr>
        <w:pStyle w:val="CommentText"/>
      </w:pPr>
      <w:r>
        <w:rPr>
          <w:rStyle w:val="CommentReference"/>
        </w:rPr>
        <w:annotationRef/>
      </w:r>
      <w:r>
        <w:t>Once I identify various common frames used, I also want to distinguish between different types or levels of frames and how they relate to each other by asking what master and primary, 88 issue, or collective action frames pro-BDS discourse relies on (Goffman; Benford &amp; Snow 619). According to various frame analysis scholars of social movement discourse, frames can be categorized on different levels, with the lower, more specific levels being sometimes referred to as “primary,” “issue,” or “collective action frames,” and the broader, more general higher-level frames being referred to as “master frames” (and sometimes “meta-frames”) (Benford and Snow 614-619; Hope 5-6; Zald 262; Goffman 21-27).</w:t>
      </w:r>
    </w:p>
  </w:comment>
  <w:comment w:id="34" w:author="Daniyal Burney" w:date="2026-03-13T15:01:00Z" w:initials="DB">
    <w:p w14:paraId="74CF179F" w14:textId="77777777" w:rsidR="005B5B70" w:rsidRDefault="005B5B70" w:rsidP="005B5B70">
      <w:pPr>
        <w:pStyle w:val="CommentText"/>
      </w:pPr>
      <w:r>
        <w:rPr>
          <w:rStyle w:val="CommentReference"/>
        </w:rPr>
        <w:annotationRef/>
      </w:r>
      <w:r>
        <w:t>Because different frame analysis scholars use different terms for different types of frames, I decided to focus primarily on distinguishing between the more specific issue-oriented frames (i.e., primary, issue, collective action) and the more general frames (i.e., master frames or meta-frames) that encompass the other more specific frames.</w:t>
      </w:r>
    </w:p>
  </w:comment>
  <w:comment w:id="35" w:author="Daniyal Burney" w:date="2026-03-13T15:01:00Z" w:initials="DB">
    <w:p w14:paraId="43032F05" w14:textId="77777777" w:rsidR="00C4694C" w:rsidRDefault="00C4694C" w:rsidP="00C4694C">
      <w:pPr>
        <w:pStyle w:val="CommentText"/>
      </w:pPr>
      <w:r>
        <w:rPr>
          <w:rStyle w:val="CommentReference"/>
        </w:rPr>
        <w:annotationRef/>
      </w:r>
      <w:r>
        <w:t>According to Benford and Snow, “counterframing” refers to the “refutations of the logic or efficacy of solutions advocated by opponents as well as a rationale for its own remedies” (617). They explain how the frames used by opponents can “affect a movement’s framings, on the one hand, by putting movement activists on the defensive, at least 95 temporarily, and, on the other hand, by frequently forcing it to develop and elaborate prognoses more clearly than otherwise might have been the case” (617).</w:t>
      </w:r>
    </w:p>
    <w:p w14:paraId="4965DC09" w14:textId="77777777" w:rsidR="00C4694C" w:rsidRDefault="00C4694C" w:rsidP="00C4694C">
      <w:pPr>
        <w:pStyle w:val="CommentText"/>
      </w:pPr>
      <w:r>
        <w:t>This discussion of counterframing seems very applicable to the rhetorical situation faced by pro-BDS rhetors who are often portrayed by their critics as being motivated by antisemitic hatred and engaged in a “war” to “destroy” Israel—charges which require counterframing by the BDS movement in order to refute such charges and gain supporters for the Palestinian cause.</w:t>
      </w:r>
    </w:p>
  </w:comment>
  <w:comment w:id="36" w:author="Daniyal Burney" w:date="2026-03-13T15:00:00Z" w:initials="DB">
    <w:p w14:paraId="251AC5EC" w14:textId="77777777" w:rsidR="00125BC0" w:rsidRDefault="00125BC0" w:rsidP="00125BC0">
      <w:pPr>
        <w:pStyle w:val="CommentText"/>
      </w:pPr>
      <w:r>
        <w:rPr>
          <w:rStyle w:val="CommentReference"/>
        </w:rPr>
        <w:annotationRef/>
      </w:r>
      <w:r>
        <w:t>Few rhetorical scholars have combined frame analysis with rhetorical analysis, but Kuypers is one communication researcher who has taken a distinctly rhetorical approach to frame analysis and thus offers some useful discussion and examples. He defines the functions of frames in a way that provides clues for where and how to look for frames in a text: When highlighting some aspect of reality over other aspects, frames act to define problems, diagnose causes, make moral judgments, and suggest remedies. They are located in the communicator, the text, the receiver, and the culture at large. Frames are central organizing ideas within a narrative account of an issue or event; they provide the interpretive cues for otherwise neutral facts. (Kuypers, “Framing Analysis” in Rhetorical Criticism 182)[</w:t>
      </w:r>
    </w:p>
  </w:comment>
  <w:comment w:id="37" w:author="Daniyal Burney" w:date="2026-03-13T15:00:00Z" w:initials="DB">
    <w:p w14:paraId="513D0502" w14:textId="77777777" w:rsidR="004304B9" w:rsidRDefault="004304B9" w:rsidP="004304B9">
      <w:pPr>
        <w:pStyle w:val="CommentText"/>
      </w:pPr>
      <w:r>
        <w:rPr>
          <w:rStyle w:val="CommentReference"/>
        </w:rPr>
        <w:annotationRef/>
      </w:r>
      <w:r>
        <w:t>Kuypers goes on to argue that frames reside in certain properties of the language use in rhetorical narratives and offers helpful details about how to identify frames in rhetorical texts by looking at key words, concepts, symbols, metaphors, visual images, and names assigned to actions, ideas, and people (185). Kuypers suggests that frame analysts should ask how “language choices invite us to understand an issue or event,” and he directs scholars to first look for themes and then determine how those themes are framed (Kuypers “Framing Analysis” in Doing News 298). He distinguishes between themes and frames this way: “A theme is the subject of discussion, or that which is the subject of the thought expressed. The frame, of course, is suggesting a particular interpretation of the theme” (“Framing Analysis” in Doing News 302). Kuypers further suggests close textual reading to discern themes and frames (“Framing Analysis” in Doing News 302).</w:t>
      </w:r>
    </w:p>
    <w:p w14:paraId="105E2AA1" w14:textId="77777777" w:rsidR="004304B9" w:rsidRDefault="004304B9" w:rsidP="004304B9">
      <w:pPr>
        <w:pStyle w:val="CommentText"/>
      </w:pPr>
      <w:r>
        <w:t>To identify frames, I also incorporate a method similar to cluster-based rhetorical criticism in which I identify the most frequently repeated words and themes and the words associated with these frequently repeated words to help identify the frames related to these important concepts (Foss).</w:t>
      </w:r>
    </w:p>
  </w:comment>
  <w:comment w:id="38" w:author="Daniyal Burney" w:date="2026-03-13T15:02:00Z" w:initials="DB">
    <w:p w14:paraId="717592DA" w14:textId="77777777" w:rsidR="00526EB3" w:rsidRDefault="00526EB3" w:rsidP="00526EB3">
      <w:pPr>
        <w:pStyle w:val="CommentText"/>
      </w:pPr>
      <w:r>
        <w:rPr>
          <w:rStyle w:val="CommentReference"/>
        </w:rPr>
        <w:annotationRef/>
      </w:r>
      <w:r>
        <w:rPr>
          <w:b/>
          <w:bCs/>
        </w:rPr>
        <w:t>Benford and Snow argue that scholars can determine the likely resonance of framing by looking at both the potential resonance or ethos of the rhetor and the resonance of the frames themselves, given how frames may align with an audience’s social, cultural, and political beliefs, which thus links resonance to heuristic question four’s focus on “empirical credibility” (620-622). According to Benford and Snow, “the greater the status and/or perceived expertise of the frame articulator and/or the organization they represent from the vantage point of potential adherents and constituents, the more plausible and resonant the framings or claims” (621). The authors also focus on “narrative fidelity” as a way to determine frame resonance and encourage frame analysts to ask whether framing is “culturally resonant,” or if frames “resonate with the targets’ cultural narrations,” which they discuss as being similar to cultural myths, assumptions, or ideologies (622). Because rhetorical “fitness” also overlaps with frame “resonance,” I decided to consider this question as part of my rhetorical frame analysis of pro-BDS texts as well.[</w:t>
      </w:r>
    </w:p>
  </w:comment>
  <w:comment w:id="39" w:author="Daniyal Burney" w:date="2025-08-28T16:43:00Z" w:initials="DB">
    <w:p w14:paraId="7E7F914C" w14:textId="77777777" w:rsidR="008D4FAE" w:rsidRDefault="008D4FAE" w:rsidP="008D4FAE">
      <w:pPr>
        <w:pStyle w:val="CommentText"/>
      </w:pPr>
      <w:r>
        <w:rPr>
          <w:rStyle w:val="CommentReference"/>
        </w:rPr>
        <w:annotationRef/>
      </w:r>
      <w:r>
        <w:t>Rhetorical Theory and Criticism:</w:t>
      </w:r>
    </w:p>
    <w:p w14:paraId="7EF600EC" w14:textId="77777777" w:rsidR="008D4FAE" w:rsidRDefault="008D4FAE" w:rsidP="008D4FAE">
      <w:pPr>
        <w:pStyle w:val="CommentText"/>
      </w:pPr>
      <w:r>
        <w:t>Foss, S.K.: Defines rhetoric as the use of symbols to influence thought and action, emphasizing both persuasion and expression.</w:t>
      </w:r>
    </w:p>
    <w:p w14:paraId="3E8E68BA" w14:textId="77777777" w:rsidR="008D4FAE" w:rsidRDefault="008D4FAE" w:rsidP="008D4FAE">
      <w:pPr>
        <w:pStyle w:val="CommentText"/>
      </w:pPr>
      <w:r>
        <w:t>Black, E.: Views rhetoric as discourse aimed at influencing audiences, with a focus on the speaker’s intent.</w:t>
      </w:r>
    </w:p>
    <w:p w14:paraId="78547F4F" w14:textId="77777777" w:rsidR="008D4FAE" w:rsidRDefault="008D4FAE" w:rsidP="008D4FAE">
      <w:pPr>
        <w:pStyle w:val="CommentText"/>
      </w:pPr>
      <w:r>
        <w:t>Grice, H.P.: Explores how style and delivery shape the substance of communication, impacting meaning-making.</w:t>
      </w:r>
      <w:r>
        <w:br/>
      </w:r>
    </w:p>
    <w:p w14:paraId="5CA4EE70" w14:textId="77777777" w:rsidR="008D4FAE" w:rsidRDefault="008D4FAE" w:rsidP="008D4FAE">
      <w:pPr>
        <w:pStyle w:val="CommentText"/>
      </w:pPr>
      <w:r>
        <w:t>Charismatic Leadership:</w:t>
      </w:r>
    </w:p>
    <w:p w14:paraId="3E5C1887" w14:textId="77777777" w:rsidR="008D4FAE" w:rsidRDefault="008D4FAE" w:rsidP="008D4FAE">
      <w:pPr>
        <w:pStyle w:val="CommentText"/>
      </w:pPr>
      <w:r>
        <w:t>Conger, J.A.: Discusses charismatic leadership and the language of leadership.</w:t>
      </w:r>
    </w:p>
    <w:p w14:paraId="6E25C4B6" w14:textId="77777777" w:rsidR="008D4FAE" w:rsidRDefault="008D4FAE" w:rsidP="008D4FAE">
      <w:pPr>
        <w:pStyle w:val="CommentText"/>
      </w:pPr>
      <w:r>
        <w:t>Shamir et al.: Examines how charismatic leaders engage followers’ self-concepts through their rhetoric.</w:t>
      </w:r>
    </w:p>
    <w:p w14:paraId="39F879DF" w14:textId="77777777" w:rsidR="008D4FAE" w:rsidRDefault="008D4FAE" w:rsidP="008D4FAE">
      <w:pPr>
        <w:pStyle w:val="CommentText"/>
      </w:pPr>
      <w:r>
        <w:t>Awamleh, R. and Gardner, W.L.: Investigate perceptions of leader charisma and the effects of vision content and delivery.</w:t>
      </w:r>
    </w:p>
    <w:p w14:paraId="0C682E51" w14:textId="77777777" w:rsidR="008D4FAE" w:rsidRDefault="008D4FAE" w:rsidP="008D4FAE">
      <w:pPr>
        <w:pStyle w:val="CommentText"/>
      </w:pPr>
      <w:r>
        <w:br/>
        <w:t>Social Movements and Framing:</w:t>
      </w:r>
    </w:p>
    <w:p w14:paraId="13C585C9" w14:textId="77777777" w:rsidR="008D4FAE" w:rsidRDefault="008D4FAE" w:rsidP="008D4FAE">
      <w:pPr>
        <w:pStyle w:val="CommentText"/>
      </w:pPr>
      <w:r>
        <w:t>Benford, R.D. and Snow, D.A.: Contribute to the understanding of framing processes in social movements.</w:t>
      </w:r>
    </w:p>
    <w:p w14:paraId="1BAA37E1" w14:textId="77777777" w:rsidR="008D4FAE" w:rsidRDefault="008D4FAE" w:rsidP="008D4FAE">
      <w:pPr>
        <w:pStyle w:val="CommentText"/>
      </w:pPr>
      <w:r>
        <w:t>Goffman, E.: Introduces the concept of frames as interpretations that allow individuals to organize experiences.</w:t>
      </w:r>
    </w:p>
    <w:p w14:paraId="6C2E6DA1" w14:textId="77777777" w:rsidR="008D4FAE" w:rsidRDefault="008D4FAE" w:rsidP="008D4FAE">
      <w:pPr>
        <w:pStyle w:val="CommentText"/>
      </w:pPr>
      <w:r>
        <w:t>Snow et al.: Focus on the relationship between frame alignment and individual participation in movements.</w:t>
      </w:r>
    </w:p>
    <w:p w14:paraId="4C30B0D9" w14:textId="77777777" w:rsidR="008D4FAE" w:rsidRDefault="008D4FAE" w:rsidP="008D4FAE">
      <w:pPr>
        <w:pStyle w:val="CommentText"/>
      </w:pPr>
      <w:r>
        <w:t>Lichterman, D.: Analyzes how cultural engagement shapes rhetorical forms in activism.</w:t>
      </w:r>
    </w:p>
    <w:p w14:paraId="02FD5C50" w14:textId="77777777" w:rsidR="008D4FAE" w:rsidRDefault="008D4FAE" w:rsidP="008D4FAE">
      <w:pPr>
        <w:pStyle w:val="CommentText"/>
      </w:pPr>
      <w:r>
        <w:br/>
        <w:t>Historical and Contextual Analysis:</w:t>
      </w:r>
    </w:p>
    <w:p w14:paraId="4CCB169E" w14:textId="77777777" w:rsidR="008D4FAE" w:rsidRDefault="008D4FAE" w:rsidP="008D4FAE">
      <w:pPr>
        <w:pStyle w:val="CommentText"/>
      </w:pPr>
      <w:r>
        <w:t>Lindholm, C.: Discusses the interplay between style and substance in ideological persuasion, using Hitler as a case study.</w:t>
      </w:r>
    </w:p>
    <w:p w14:paraId="262F9607" w14:textId="77777777" w:rsidR="008D4FAE" w:rsidRDefault="008D4FAE" w:rsidP="008D4FAE">
      <w:pPr>
        <w:pStyle w:val="CommentText"/>
      </w:pPr>
      <w:r>
        <w:t>Simons, H.W.: Proposes a rhetorical model for social movement leadership and strategies for persuasion amidst opposition.</w:t>
      </w:r>
    </w:p>
    <w:p w14:paraId="7C345054" w14:textId="77777777" w:rsidR="008D4FAE" w:rsidRDefault="008D4FAE" w:rsidP="008D4FAE">
      <w:pPr>
        <w:pStyle w:val="CommentText"/>
      </w:pPr>
      <w:r>
        <w:t>Franzosi, R. and Vicari, S.: Explore the synergies between rhetorical theory and frame analysis.</w:t>
      </w:r>
    </w:p>
  </w:comment>
  <w:comment w:id="40" w:author="Daniyal Burney" w:date="2025-08-06T14:35:00Z" w:initials="DB">
    <w:p w14:paraId="647C6049" w14:textId="01145294" w:rsidR="001866D9" w:rsidRDefault="001866D9" w:rsidP="001866D9">
      <w:pPr>
        <w:pStyle w:val="CommentText"/>
      </w:pPr>
      <w:r>
        <w:rPr>
          <w:rStyle w:val="CommentReference"/>
        </w:rPr>
        <w:annotationRef/>
      </w:r>
      <w:r>
        <w:t xml:space="preserve">Describe your step-by-step workflow from context mapping (DHA) → frame identification → rhetorical structure analysis → justification strategies → integration of findings → optional reception analysis. </w:t>
      </w:r>
    </w:p>
  </w:comment>
  <w:comment w:id="41" w:author="Daniyal Burney" w:date="2025-08-06T14:51:00Z" w:initials="DB">
    <w:p w14:paraId="31B20AF1" w14:textId="77777777" w:rsidR="004A1ABF" w:rsidRDefault="004A1ABF" w:rsidP="004A1ABF">
      <w:pPr>
        <w:pStyle w:val="CommentText"/>
      </w:pPr>
      <w:r>
        <w:rPr>
          <w:rStyle w:val="CommentReference"/>
        </w:rPr>
        <w:annotationRef/>
      </w:r>
      <w:r>
        <w:t>Codification of texts - excel</w:t>
      </w:r>
    </w:p>
    <w:p w14:paraId="381D6EC4" w14:textId="77777777" w:rsidR="004A1ABF" w:rsidRDefault="004A1ABF" w:rsidP="004A1ABF">
      <w:pPr>
        <w:pStyle w:val="CommentText"/>
      </w:pPr>
      <w:r>
        <w:t>??</w:t>
      </w:r>
    </w:p>
  </w:comment>
  <w:comment w:id="42" w:author="Daniyal Burney" w:date="2025-07-29T19:01:00Z" w:initials="DB">
    <w:p w14:paraId="37B08CE3" w14:textId="293A8B5A" w:rsidR="00492093" w:rsidRDefault="00DD65F3" w:rsidP="00492093">
      <w:pPr>
        <w:pStyle w:val="CommentText"/>
      </w:pPr>
      <w:r>
        <w:rPr>
          <w:rStyle w:val="CommentReference"/>
        </w:rPr>
        <w:annotationRef/>
      </w:r>
      <w:r w:rsidR="00492093">
        <w:t>Mention expansion and contraction too</w:t>
      </w:r>
    </w:p>
  </w:comment>
  <w:comment w:id="43" w:author="Daniyal Burney" w:date="2026-03-13T13:16:00Z" w:initials="DB">
    <w:p w14:paraId="4AE7286D" w14:textId="77777777" w:rsidR="00B61169" w:rsidRDefault="00B61169" w:rsidP="00B61169">
      <w:pPr>
        <w:pStyle w:val="CommentText"/>
      </w:pPr>
      <w:r>
        <w:rPr>
          <w:rStyle w:val="CommentReference"/>
        </w:rPr>
        <w:annotationRef/>
      </w:r>
      <w:r>
        <w:t>•</w:t>
      </w:r>
      <w:r>
        <w:tab/>
        <w:t>How you trace sequences between leadership rhetoric, organisational response, and mobilisation outcomes.</w:t>
      </w:r>
    </w:p>
    <w:p w14:paraId="2106B7F7" w14:textId="77777777" w:rsidR="00B61169" w:rsidRDefault="00B61169" w:rsidP="00B61169">
      <w:pPr>
        <w:pStyle w:val="CommentText"/>
      </w:pPr>
      <w:r>
        <w:t>•</w:t>
      </w:r>
      <w:r>
        <w:tab/>
        <w:t>How you treat speeches and organisational actions as traces of underlying mechanisms.</w:t>
      </w:r>
    </w:p>
    <w:p w14:paraId="19CC3475" w14:textId="77777777" w:rsidR="00B61169" w:rsidRDefault="00B61169" w:rsidP="00B61169">
      <w:pPr>
        <w:pStyle w:val="CommentText"/>
      </w:pPr>
      <w:r>
        <w:t>•</w:t>
      </w:r>
      <w:r>
        <w:tab/>
        <w:t>How you compare similar frames across different locations or moments to identify variance in resonance.</w:t>
      </w:r>
    </w:p>
    <w:p w14:paraId="1681DD1F" w14:textId="77777777" w:rsidR="00B61169" w:rsidRDefault="00B61169" w:rsidP="00B61169">
      <w:pPr>
        <w:pStyle w:val="CommentText"/>
      </w:pPr>
      <w:r>
        <w:t>•</w:t>
      </w:r>
      <w:r>
        <w:tab/>
        <w:t>How retroduction allows you to infer generative conditions behind observed change.</w:t>
      </w:r>
    </w:p>
  </w:comment>
  <w:comment w:id="44" w:author="Daniyal Burney" w:date="2026-03-13T13:17:00Z" w:initials="DB">
    <w:p w14:paraId="7F8B0BE4" w14:textId="77777777" w:rsidR="00F04D01" w:rsidRDefault="00F04D01" w:rsidP="00F04D01">
      <w:pPr>
        <w:pStyle w:val="CommentText"/>
      </w:pPr>
      <w:r>
        <w:rPr>
          <w:rStyle w:val="CommentReference"/>
        </w:rPr>
        <w:annotationRef/>
      </w:r>
      <w:r>
        <w:t>You now deal with audience and mediation.</w:t>
      </w:r>
    </w:p>
    <w:p w14:paraId="14542ADC" w14:textId="77777777" w:rsidR="00F04D01" w:rsidRDefault="00F04D01" w:rsidP="00F04D01">
      <w:pPr>
        <w:pStyle w:val="CommentText"/>
      </w:pPr>
      <w:r>
        <w:t>Write about:</w:t>
      </w:r>
    </w:p>
    <w:p w14:paraId="7BFCE54D" w14:textId="77777777" w:rsidR="00F04D01" w:rsidRDefault="00F04D01" w:rsidP="00F04D01">
      <w:pPr>
        <w:pStyle w:val="CommentText"/>
      </w:pPr>
      <w:r>
        <w:t>•</w:t>
      </w:r>
      <w:r>
        <w:tab/>
        <w:t>How member interviews, publications, and secondary sources reveal reception.</w:t>
      </w:r>
    </w:p>
    <w:p w14:paraId="2FF5C1B2" w14:textId="77777777" w:rsidR="00F04D01" w:rsidRDefault="00F04D01" w:rsidP="00F04D01">
      <w:pPr>
        <w:pStyle w:val="CommentText"/>
      </w:pPr>
      <w:r>
        <w:t>•</w:t>
      </w:r>
      <w:r>
        <w:tab/>
        <w:t>How middle-cadre transmission, mimicry, and organisational discipline are analysed.</w:t>
      </w:r>
    </w:p>
    <w:p w14:paraId="021493EC" w14:textId="77777777" w:rsidR="00F04D01" w:rsidRDefault="00F04D01" w:rsidP="00F04D01">
      <w:pPr>
        <w:pStyle w:val="CommentText"/>
      </w:pPr>
      <w:r>
        <w:t>•</w:t>
      </w:r>
      <w:r>
        <w:tab/>
        <w:t>How resonance is assessed through uptake, repetition, modification, or resistance.</w:t>
      </w:r>
    </w:p>
    <w:p w14:paraId="6A7B786F" w14:textId="77777777" w:rsidR="00F04D01" w:rsidRDefault="00F04D01" w:rsidP="00F04D01">
      <w:pPr>
        <w:pStyle w:val="CommentText"/>
      </w:pPr>
      <w:r>
        <w:t>•</w:t>
      </w:r>
      <w:r>
        <w:tab/>
        <w:t>How external counter-framing by media and state actors enters your analysis.</w:t>
      </w:r>
    </w:p>
    <w:p w14:paraId="1667FA08" w14:textId="77777777" w:rsidR="00F04D01" w:rsidRDefault="00F04D01" w:rsidP="00F04D01">
      <w:pPr>
        <w:pStyle w:val="CommentText"/>
      </w:pPr>
      <w:r>
        <w:t>This connects leadership to followers and environment.</w:t>
      </w:r>
    </w:p>
  </w:comment>
  <w:comment w:id="45" w:author="Daniyal Burney" w:date="2026-03-13T13:17:00Z" w:initials="DB">
    <w:p w14:paraId="66A5B19D" w14:textId="77777777" w:rsidR="003F2E73" w:rsidRDefault="003F2E73" w:rsidP="003F2E73">
      <w:pPr>
        <w:pStyle w:val="CommentText"/>
      </w:pPr>
      <w:r>
        <w:rPr>
          <w:rStyle w:val="CommentReference"/>
        </w:rPr>
        <w:annotationRef/>
      </w:r>
      <w:r>
        <w:t>•</w:t>
      </w:r>
      <w:r>
        <w:tab/>
        <w:t>How you handle controversial material, antisemitism, homophobia, and racial politics analytically rather than normatively.</w:t>
      </w:r>
    </w:p>
    <w:p w14:paraId="7D9BBD3B" w14:textId="77777777" w:rsidR="003F2E73" w:rsidRDefault="003F2E73" w:rsidP="003F2E73">
      <w:pPr>
        <w:pStyle w:val="CommentText"/>
      </w:pPr>
      <w:r>
        <w:t>•</w:t>
      </w:r>
      <w:r>
        <w:tab/>
        <w:t>How interview ethics, anonymity, and consent are managed.</w:t>
      </w:r>
    </w:p>
    <w:p w14:paraId="5AB78189" w14:textId="77777777" w:rsidR="003F2E73" w:rsidRDefault="003F2E73" w:rsidP="003F2E73">
      <w:pPr>
        <w:pStyle w:val="CommentText"/>
      </w:pPr>
      <w:r>
        <w:t>•</w:t>
      </w:r>
      <w:r>
        <w:tab/>
        <w:t>How your own position shapes interpretation without collapsing into advocacy.</w:t>
      </w:r>
    </w:p>
    <w:p w14:paraId="249199D1" w14:textId="77777777" w:rsidR="003F2E73" w:rsidRDefault="003F2E73" w:rsidP="003F2E73">
      <w:pPr>
        <w:pStyle w:val="CommentText"/>
      </w:pPr>
      <w:r>
        <w:t>•</w:t>
      </w:r>
      <w:r>
        <w:tab/>
        <w:t>How archival and digital sources are treated responsibly.</w:t>
      </w:r>
    </w:p>
  </w:comment>
  <w:comment w:id="46" w:author="Daniyal Burney" w:date="2026-03-10T16:19:00Z" w:initials="DB">
    <w:p w14:paraId="19053B8D" w14:textId="77777777" w:rsidR="006512BC" w:rsidRDefault="006512BC" w:rsidP="006512BC">
      <w:pPr>
        <w:pStyle w:val="CommentText"/>
      </w:pPr>
      <w:r>
        <w:rPr>
          <w:rStyle w:val="CommentReference"/>
        </w:rPr>
        <w:annotationRef/>
      </w:r>
      <w:r>
        <w:t>REWORD</w:t>
      </w:r>
    </w:p>
  </w:comment>
  <w:comment w:id="47" w:author="Daniyal Burney" w:date="2025-08-06T14:37:00Z" w:initials="DB">
    <w:p w14:paraId="76991690" w14:textId="77777777" w:rsidR="00C00E01" w:rsidRDefault="00C00E01" w:rsidP="00C00E01">
      <w:pPr>
        <w:pStyle w:val="CommentText"/>
      </w:pPr>
      <w:r>
        <w:rPr>
          <w:rStyle w:val="CommentReference"/>
        </w:rPr>
        <w:annotationRef/>
      </w:r>
      <w:r>
        <w:t>Discuss anticipated challenges, potential adjustments, and contingency plans.</w:t>
      </w:r>
    </w:p>
  </w:comment>
  <w:comment w:id="48" w:author="Daniyal Burney" w:date="2025-08-08T11:27:00Z" w:initials="DB">
    <w:p w14:paraId="2A1844EE" w14:textId="77777777" w:rsidR="009A0111" w:rsidRDefault="009A0111" w:rsidP="009A0111">
      <w:pPr>
        <w:pStyle w:val="CommentText"/>
      </w:pPr>
      <w:r>
        <w:rPr>
          <w:rStyle w:val="CommentReference"/>
        </w:rPr>
        <w:annotationRef/>
      </w:r>
      <w:r>
        <w:t>Less focused on frames, selection will differ..?</w:t>
      </w:r>
    </w:p>
  </w:comment>
  <w:comment w:id="49" w:author="Daniyal Burney" w:date="2025-08-15T15:29:00Z" w:initials="DB">
    <w:p w14:paraId="0F98C5F3" w14:textId="77777777" w:rsidR="00E77790" w:rsidRDefault="00E77790" w:rsidP="00E77790">
      <w:pPr>
        <w:pStyle w:val="CommentText"/>
      </w:pPr>
      <w:r>
        <w:rPr>
          <w:rStyle w:val="CommentReference"/>
        </w:rPr>
        <w:annotationRef/>
      </w:r>
      <w:r>
        <w:t>As such .. Selection was refined to …….</w:t>
      </w:r>
    </w:p>
  </w:comment>
  <w:comment w:id="50" w:author="Daniyal Burney" w:date="2025-08-15T15:31:00Z" w:initials="DB">
    <w:p w14:paraId="3ACCF8B1" w14:textId="77777777" w:rsidR="00B32B17" w:rsidRDefault="00B32B17" w:rsidP="00B32B17">
      <w:pPr>
        <w:pStyle w:val="CommentText"/>
      </w:pPr>
      <w:r>
        <w:rPr>
          <w:rStyle w:val="CommentReference"/>
        </w:rPr>
        <w:annotationRef/>
      </w:r>
      <w:r>
        <w:t>What would also be valuable is comparing insights from those within the movements and those who are former members.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8B7DF1" w15:done="0"/>
  <w15:commentEx w15:paraId="5AFD52F8" w15:done="0"/>
  <w15:commentEx w15:paraId="56775E80" w15:done="0"/>
  <w15:commentEx w15:paraId="1D6FB03E" w15:paraIdParent="56775E80" w15:done="0"/>
  <w15:commentEx w15:paraId="37AD08B5" w15:done="0"/>
  <w15:commentEx w15:paraId="0A320A41" w15:done="0"/>
  <w15:commentEx w15:paraId="2907DCD3" w15:done="0"/>
  <w15:commentEx w15:paraId="72E77A69" w15:paraIdParent="2907DCD3" w15:done="0"/>
  <w15:commentEx w15:paraId="21418BC8" w15:paraIdParent="2907DCD3" w15:done="0"/>
  <w15:commentEx w15:paraId="3BDEBC5C" w15:done="0"/>
  <w15:commentEx w15:paraId="6724BA98" w15:done="0"/>
  <w15:commentEx w15:paraId="60005118" w15:done="0"/>
  <w15:commentEx w15:paraId="72381476" w15:done="0"/>
  <w15:commentEx w15:paraId="0252DEF9" w15:done="0"/>
  <w15:commentEx w15:paraId="2AE06D04" w15:paraIdParent="0252DEF9" w15:done="0"/>
  <w15:commentEx w15:paraId="0F384780" w15:paraIdParent="0252DEF9" w15:done="0"/>
  <w15:commentEx w15:paraId="1B2B785C" w15:done="0"/>
  <w15:commentEx w15:paraId="1049C7FF" w15:done="0"/>
  <w15:commentEx w15:paraId="0427BE46" w15:done="0"/>
  <w15:commentEx w15:paraId="729B22AD" w15:done="0"/>
  <w15:commentEx w15:paraId="7276946A" w15:paraIdParent="729B22AD" w15:done="0"/>
  <w15:commentEx w15:paraId="18C58DF1" w15:paraIdParent="729B22AD" w15:done="0"/>
  <w15:commentEx w15:paraId="394D67D8" w15:paraIdParent="729B22AD" w15:done="0"/>
  <w15:commentEx w15:paraId="3051341C" w15:done="0"/>
  <w15:commentEx w15:paraId="2F6853E2" w15:done="0"/>
  <w15:commentEx w15:paraId="75EB77C3" w15:done="0"/>
  <w15:commentEx w15:paraId="1E04640D" w15:done="0"/>
  <w15:commentEx w15:paraId="2878CAE8" w15:paraIdParent="1E04640D" w15:done="0"/>
  <w15:commentEx w15:paraId="28F6127E" w15:done="0"/>
  <w15:commentEx w15:paraId="726EE61E" w15:done="0"/>
  <w15:commentEx w15:paraId="60EA387E" w15:done="0"/>
  <w15:commentEx w15:paraId="63A4ED58" w15:paraIdParent="60EA387E" w15:done="0"/>
  <w15:commentEx w15:paraId="758B6F28" w15:paraIdParent="60EA387E" w15:done="0"/>
  <w15:commentEx w15:paraId="5EE1D898" w15:paraIdParent="60EA387E" w15:done="0"/>
  <w15:commentEx w15:paraId="74CF179F" w15:paraIdParent="60EA387E" w15:done="0"/>
  <w15:commentEx w15:paraId="4965DC09" w15:paraIdParent="60EA387E" w15:done="0"/>
  <w15:commentEx w15:paraId="251AC5EC" w15:done="0"/>
  <w15:commentEx w15:paraId="105E2AA1" w15:paraIdParent="251AC5EC" w15:done="0"/>
  <w15:commentEx w15:paraId="717592DA" w15:done="0"/>
  <w15:commentEx w15:paraId="7C345054" w15:done="0"/>
  <w15:commentEx w15:paraId="647C6049" w15:done="0"/>
  <w15:commentEx w15:paraId="381D6EC4" w15:paraIdParent="647C6049" w15:done="0"/>
  <w15:commentEx w15:paraId="37B08CE3" w15:done="0"/>
  <w15:commentEx w15:paraId="1681DD1F" w15:done="0"/>
  <w15:commentEx w15:paraId="1667FA08" w15:done="0"/>
  <w15:commentEx w15:paraId="249199D1" w15:done="0"/>
  <w15:commentEx w15:paraId="19053B8D" w15:done="0"/>
  <w15:commentEx w15:paraId="76991690" w15:done="0"/>
  <w15:commentEx w15:paraId="2A1844EE" w15:done="0"/>
  <w15:commentEx w15:paraId="0F98C5F3" w15:done="0"/>
  <w15:commentEx w15:paraId="3ACCF8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CDA744" w16cex:dateUtc="2026-08-18T18:46:00Z"/>
  <w16cex:commentExtensible w16cex:durableId="7AC10C99" w16cex:dateUtc="2026-08-18T15:30:00Z"/>
  <w16cex:commentExtensible w16cex:durableId="69C7B0D6" w16cex:dateUtc="2026-08-18T15:49:00Z"/>
  <w16cex:commentExtensible w16cex:durableId="516C1E1C" w16cex:dateUtc="2026-08-18T15:49:00Z"/>
  <w16cex:commentExtensible w16cex:durableId="39539903" w16cex:dateUtc="2026-08-18T15:50:00Z"/>
  <w16cex:commentExtensible w16cex:durableId="58045846" w16cex:dateUtc="2026-03-12T15:03:00Z"/>
  <w16cex:commentExtensible w16cex:durableId="5E6EB1A1" w16cex:dateUtc="2025-08-06T13:27:00Z"/>
  <w16cex:commentExtensible w16cex:durableId="0E785922" w16cex:dateUtc="2025-08-15T13:17:00Z"/>
  <w16cex:commentExtensible w16cex:durableId="4374BCB7" w16cex:dateUtc="2025-08-15T13:17:00Z"/>
  <w16cex:commentExtensible w16cex:durableId="13826316" w16cex:dateUtc="2026-03-12T14:07:00Z"/>
  <w16cex:commentExtensible w16cex:durableId="2192B2AA" w16cex:dateUtc="2026-03-13T14:44:00Z"/>
  <w16cex:commentExtensible w16cex:durableId="74A8D356" w16cex:dateUtc="2025-08-05T13:55:00Z"/>
  <w16cex:commentExtensible w16cex:durableId="1D3EF754" w16cex:dateUtc="2025-08-05T14:14:00Z"/>
  <w16cex:commentExtensible w16cex:durableId="7AFCAFFA" w16cex:dateUtc="2025-08-06T13:30:00Z"/>
  <w16cex:commentExtensible w16cex:durableId="47B157F9" w16cex:dateUtc="2025-08-13T13:15:00Z"/>
  <w16cex:commentExtensible w16cex:durableId="69832EE7" w16cex:dateUtc="2025-08-14T15:16:00Z"/>
  <w16cex:commentExtensible w16cex:durableId="404755A7" w16cex:dateUtc="2026-03-12T15:08:00Z"/>
  <w16cex:commentExtensible w16cex:durableId="490965D0" w16cex:dateUtc="2026-03-11T16:29:00Z"/>
  <w16cex:commentExtensible w16cex:durableId="6FBC2E4C" w16cex:dateUtc="2026-03-13T13:02:00Z"/>
  <w16cex:commentExtensible w16cex:durableId="2C8617E1" w16cex:dateUtc="2026-03-13T14:59:00Z"/>
  <w16cex:commentExtensible w16cex:durableId="18E077C5" w16cex:dateUtc="2026-03-13T14:59:00Z"/>
  <w16cex:commentExtensible w16cex:durableId="3E1B134A" w16cex:dateUtc="2026-03-13T15:00:00Z"/>
  <w16cex:commentExtensible w16cex:durableId="135EBD8C" w16cex:dateUtc="2026-03-13T15:00:00Z"/>
  <w16cex:commentExtensible w16cex:durableId="44D776C2" w16cex:dateUtc="2026-03-11T16:36:00Z"/>
  <w16cex:commentExtensible w16cex:durableId="581DC70C" w16cex:dateUtc="2025-08-05T17:39:00Z"/>
  <w16cex:commentExtensible w16cex:durableId="0A383E44" w16cex:dateUtc="2026-03-13T13:11:00Z"/>
  <w16cex:commentExtensible w16cex:durableId="72D7016D" w16cex:dateUtc="2025-08-13T12:34:00Z"/>
  <w16cex:commentExtensible w16cex:durableId="30A24EB1" w16cex:dateUtc="2025-08-14T15:15:00Z"/>
  <w16cex:commentExtensible w16cex:durableId="0F12632C" w16cex:dateUtc="2026-03-13T13:16:00Z"/>
  <w16cex:commentExtensible w16cex:durableId="4E40A4C4" w16cex:dateUtc="2025-08-06T13:33:00Z"/>
  <w16cex:commentExtensible w16cex:durableId="61A42143" w16cex:dateUtc="2026-03-13T14:45:00Z"/>
  <w16cex:commentExtensible w16cex:durableId="67C3714E" w16cex:dateUtc="2026-03-13T14:45:00Z"/>
  <w16cex:commentExtensible w16cex:durableId="530CE3B8" w16cex:dateUtc="2026-03-13T15:00:00Z"/>
  <w16cex:commentExtensible w16cex:durableId="60F19335" w16cex:dateUtc="2026-03-13T15:01:00Z"/>
  <w16cex:commentExtensible w16cex:durableId="470C0338" w16cex:dateUtc="2026-03-13T15:01:00Z"/>
  <w16cex:commentExtensible w16cex:durableId="3D65AF2E" w16cex:dateUtc="2026-03-13T15:01:00Z"/>
  <w16cex:commentExtensible w16cex:durableId="676692B2" w16cex:dateUtc="2026-03-13T15:00:00Z"/>
  <w16cex:commentExtensible w16cex:durableId="5F6BDB18" w16cex:dateUtc="2026-03-13T15:00:00Z"/>
  <w16cex:commentExtensible w16cex:durableId="6FEBA473" w16cex:dateUtc="2026-03-13T15:02:00Z"/>
  <w16cex:commentExtensible w16cex:durableId="2616BA37" w16cex:dateUtc="2025-08-28T15:43:00Z"/>
  <w16cex:commentExtensible w16cex:durableId="5659A66B" w16cex:dateUtc="2025-08-06T13:35:00Z"/>
  <w16cex:commentExtensible w16cex:durableId="647F6F69" w16cex:dateUtc="2025-08-06T13:51:00Z"/>
  <w16cex:commentExtensible w16cex:durableId="45342064" w16cex:dateUtc="2025-07-29T18:01:00Z"/>
  <w16cex:commentExtensible w16cex:durableId="70439713" w16cex:dateUtc="2026-03-13T13:16:00Z"/>
  <w16cex:commentExtensible w16cex:durableId="59FBC4C9" w16cex:dateUtc="2026-03-13T13:17:00Z"/>
  <w16cex:commentExtensible w16cex:durableId="3E8FC0E3" w16cex:dateUtc="2026-03-13T13:17:00Z"/>
  <w16cex:commentExtensible w16cex:durableId="61193E1F" w16cex:dateUtc="2026-03-10T16:19:00Z"/>
  <w16cex:commentExtensible w16cex:durableId="08676BB5" w16cex:dateUtc="2025-08-06T13:37:00Z"/>
  <w16cex:commentExtensible w16cex:durableId="213358F7" w16cex:dateUtc="2025-08-08T10:27:00Z"/>
  <w16cex:commentExtensible w16cex:durableId="5A951EF8" w16cex:dateUtc="2025-08-15T14:29:00Z"/>
  <w16cex:commentExtensible w16cex:durableId="42B87293" w16cex:dateUtc="2025-08-15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8B7DF1" w16cid:durableId="2FCDA744"/>
  <w16cid:commentId w16cid:paraId="5AFD52F8" w16cid:durableId="7AC10C99"/>
  <w16cid:commentId w16cid:paraId="56775E80" w16cid:durableId="69C7B0D6"/>
  <w16cid:commentId w16cid:paraId="1D6FB03E" w16cid:durableId="516C1E1C"/>
  <w16cid:commentId w16cid:paraId="37AD08B5" w16cid:durableId="39539903"/>
  <w16cid:commentId w16cid:paraId="0A320A41" w16cid:durableId="58045846"/>
  <w16cid:commentId w16cid:paraId="2907DCD3" w16cid:durableId="5E6EB1A1"/>
  <w16cid:commentId w16cid:paraId="72E77A69" w16cid:durableId="0E785922"/>
  <w16cid:commentId w16cid:paraId="21418BC8" w16cid:durableId="4374BCB7"/>
  <w16cid:commentId w16cid:paraId="3BDEBC5C" w16cid:durableId="13826316"/>
  <w16cid:commentId w16cid:paraId="6724BA98" w16cid:durableId="2192B2AA"/>
  <w16cid:commentId w16cid:paraId="60005118" w16cid:durableId="74A8D356"/>
  <w16cid:commentId w16cid:paraId="72381476" w16cid:durableId="1D3EF754"/>
  <w16cid:commentId w16cid:paraId="0252DEF9" w16cid:durableId="7AFCAFFA"/>
  <w16cid:commentId w16cid:paraId="2AE06D04" w16cid:durableId="47B157F9"/>
  <w16cid:commentId w16cid:paraId="0F384780" w16cid:durableId="69832EE7"/>
  <w16cid:commentId w16cid:paraId="1B2B785C" w16cid:durableId="404755A7"/>
  <w16cid:commentId w16cid:paraId="1049C7FF" w16cid:durableId="490965D0"/>
  <w16cid:commentId w16cid:paraId="0427BE46" w16cid:durableId="6FBC2E4C"/>
  <w16cid:commentId w16cid:paraId="729B22AD" w16cid:durableId="2C8617E1"/>
  <w16cid:commentId w16cid:paraId="7276946A" w16cid:durableId="18E077C5"/>
  <w16cid:commentId w16cid:paraId="18C58DF1" w16cid:durableId="3E1B134A"/>
  <w16cid:commentId w16cid:paraId="394D67D8" w16cid:durableId="135EBD8C"/>
  <w16cid:commentId w16cid:paraId="3051341C" w16cid:durableId="44D776C2"/>
  <w16cid:commentId w16cid:paraId="2F6853E2" w16cid:durableId="581DC70C"/>
  <w16cid:commentId w16cid:paraId="75EB77C3" w16cid:durableId="0A383E44"/>
  <w16cid:commentId w16cid:paraId="1E04640D" w16cid:durableId="72D7016D"/>
  <w16cid:commentId w16cid:paraId="2878CAE8" w16cid:durableId="30A24EB1"/>
  <w16cid:commentId w16cid:paraId="28F6127E" w16cid:durableId="0F12632C"/>
  <w16cid:commentId w16cid:paraId="726EE61E" w16cid:durableId="4E40A4C4"/>
  <w16cid:commentId w16cid:paraId="60EA387E" w16cid:durableId="61A42143"/>
  <w16cid:commentId w16cid:paraId="63A4ED58" w16cid:durableId="67C3714E"/>
  <w16cid:commentId w16cid:paraId="758B6F28" w16cid:durableId="530CE3B8"/>
  <w16cid:commentId w16cid:paraId="5EE1D898" w16cid:durableId="60F19335"/>
  <w16cid:commentId w16cid:paraId="74CF179F" w16cid:durableId="470C0338"/>
  <w16cid:commentId w16cid:paraId="4965DC09" w16cid:durableId="3D65AF2E"/>
  <w16cid:commentId w16cid:paraId="251AC5EC" w16cid:durableId="676692B2"/>
  <w16cid:commentId w16cid:paraId="105E2AA1" w16cid:durableId="5F6BDB18"/>
  <w16cid:commentId w16cid:paraId="717592DA" w16cid:durableId="6FEBA473"/>
  <w16cid:commentId w16cid:paraId="7C345054" w16cid:durableId="2616BA37"/>
  <w16cid:commentId w16cid:paraId="647C6049" w16cid:durableId="5659A66B"/>
  <w16cid:commentId w16cid:paraId="381D6EC4" w16cid:durableId="647F6F69"/>
  <w16cid:commentId w16cid:paraId="37B08CE3" w16cid:durableId="45342064"/>
  <w16cid:commentId w16cid:paraId="1681DD1F" w16cid:durableId="70439713"/>
  <w16cid:commentId w16cid:paraId="1667FA08" w16cid:durableId="59FBC4C9"/>
  <w16cid:commentId w16cid:paraId="249199D1" w16cid:durableId="3E8FC0E3"/>
  <w16cid:commentId w16cid:paraId="19053B8D" w16cid:durableId="61193E1F"/>
  <w16cid:commentId w16cid:paraId="76991690" w16cid:durableId="08676BB5"/>
  <w16cid:commentId w16cid:paraId="2A1844EE" w16cid:durableId="213358F7"/>
  <w16cid:commentId w16cid:paraId="0F98C5F3" w16cid:durableId="5A951EF8"/>
  <w16cid:commentId w16cid:paraId="3ACCF8B1" w16cid:durableId="42B872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F994" w14:textId="77777777" w:rsidR="00433518" w:rsidRDefault="00433518" w:rsidP="00D748E7">
      <w:pPr>
        <w:spacing w:after="0" w:line="240" w:lineRule="auto"/>
      </w:pPr>
      <w:r>
        <w:separator/>
      </w:r>
    </w:p>
  </w:endnote>
  <w:endnote w:type="continuationSeparator" w:id="0">
    <w:p w14:paraId="423E9565" w14:textId="77777777" w:rsidR="00433518" w:rsidRDefault="00433518" w:rsidP="00D74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4B6C3" w14:textId="77777777" w:rsidR="00433518" w:rsidRDefault="00433518" w:rsidP="00D748E7">
      <w:pPr>
        <w:spacing w:after="0" w:line="240" w:lineRule="auto"/>
      </w:pPr>
      <w:r>
        <w:separator/>
      </w:r>
    </w:p>
  </w:footnote>
  <w:footnote w:type="continuationSeparator" w:id="0">
    <w:p w14:paraId="1B38E9FB" w14:textId="77777777" w:rsidR="00433518" w:rsidRDefault="00433518" w:rsidP="00D74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837"/>
    <w:multiLevelType w:val="multilevel"/>
    <w:tmpl w:val="486CB9E4"/>
    <w:lvl w:ilvl="0">
      <w:start w:val="3"/>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6F51DA1"/>
    <w:multiLevelType w:val="multilevel"/>
    <w:tmpl w:val="E36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7025"/>
    <w:multiLevelType w:val="hybridMultilevel"/>
    <w:tmpl w:val="DA941276"/>
    <w:lvl w:ilvl="0" w:tplc="E35CCBCC">
      <w:start w:val="193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12A18"/>
    <w:multiLevelType w:val="multilevel"/>
    <w:tmpl w:val="26AAB9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D3613"/>
    <w:multiLevelType w:val="multilevel"/>
    <w:tmpl w:val="6C8A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F3FDE"/>
    <w:multiLevelType w:val="multilevel"/>
    <w:tmpl w:val="26AAB9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D25F5"/>
    <w:multiLevelType w:val="hybridMultilevel"/>
    <w:tmpl w:val="12E09D7C"/>
    <w:lvl w:ilvl="0" w:tplc="62141BF6">
      <w:start w:val="7"/>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83583"/>
    <w:multiLevelType w:val="multilevel"/>
    <w:tmpl w:val="31889D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63975"/>
    <w:multiLevelType w:val="hybridMultilevel"/>
    <w:tmpl w:val="257A45BC"/>
    <w:lvl w:ilvl="0" w:tplc="90F80BA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E746AB"/>
    <w:multiLevelType w:val="multilevel"/>
    <w:tmpl w:val="AAE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B7FAF"/>
    <w:multiLevelType w:val="multilevel"/>
    <w:tmpl w:val="486CB9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46F31"/>
    <w:multiLevelType w:val="multilevel"/>
    <w:tmpl w:val="F22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097E5E"/>
    <w:multiLevelType w:val="multilevel"/>
    <w:tmpl w:val="6666E9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E62CA7"/>
    <w:multiLevelType w:val="multilevel"/>
    <w:tmpl w:val="8960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F5D93"/>
    <w:multiLevelType w:val="hybridMultilevel"/>
    <w:tmpl w:val="13669582"/>
    <w:lvl w:ilvl="0" w:tplc="1EE21B3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75023E"/>
    <w:multiLevelType w:val="multilevel"/>
    <w:tmpl w:val="882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85126"/>
    <w:multiLevelType w:val="multilevel"/>
    <w:tmpl w:val="BDB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20DCD"/>
    <w:multiLevelType w:val="multilevel"/>
    <w:tmpl w:val="3B0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1C4B2B"/>
    <w:multiLevelType w:val="multilevel"/>
    <w:tmpl w:val="DA9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65F0D"/>
    <w:multiLevelType w:val="multilevel"/>
    <w:tmpl w:val="687A76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82165"/>
    <w:multiLevelType w:val="multilevel"/>
    <w:tmpl w:val="C234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6330C0"/>
    <w:multiLevelType w:val="multilevel"/>
    <w:tmpl w:val="F93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5105D"/>
    <w:multiLevelType w:val="multilevel"/>
    <w:tmpl w:val="FD58C0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56709"/>
    <w:multiLevelType w:val="multilevel"/>
    <w:tmpl w:val="3076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23FE6"/>
    <w:multiLevelType w:val="multilevel"/>
    <w:tmpl w:val="4DF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479DC"/>
    <w:multiLevelType w:val="multilevel"/>
    <w:tmpl w:val="883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C0EC1"/>
    <w:multiLevelType w:val="multilevel"/>
    <w:tmpl w:val="435C9F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E4993"/>
    <w:multiLevelType w:val="multilevel"/>
    <w:tmpl w:val="BC4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236EF2"/>
    <w:multiLevelType w:val="multilevel"/>
    <w:tmpl w:val="0922BB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D57907"/>
    <w:multiLevelType w:val="multilevel"/>
    <w:tmpl w:val="89B433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3D24A8"/>
    <w:multiLevelType w:val="multilevel"/>
    <w:tmpl w:val="D3A2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2B4EA4"/>
    <w:multiLevelType w:val="multilevel"/>
    <w:tmpl w:val="4C4086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DA710E"/>
    <w:multiLevelType w:val="multilevel"/>
    <w:tmpl w:val="D9F8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736066"/>
    <w:multiLevelType w:val="multilevel"/>
    <w:tmpl w:val="F30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759146">
    <w:abstractNumId w:val="8"/>
  </w:num>
  <w:num w:numId="2" w16cid:durableId="502939379">
    <w:abstractNumId w:val="6"/>
  </w:num>
  <w:num w:numId="3" w16cid:durableId="379597139">
    <w:abstractNumId w:val="24"/>
  </w:num>
  <w:num w:numId="4" w16cid:durableId="1184710892">
    <w:abstractNumId w:val="4"/>
  </w:num>
  <w:num w:numId="5" w16cid:durableId="236597717">
    <w:abstractNumId w:val="2"/>
  </w:num>
  <w:num w:numId="6" w16cid:durableId="659307913">
    <w:abstractNumId w:val="20"/>
  </w:num>
  <w:num w:numId="7" w16cid:durableId="1827013928">
    <w:abstractNumId w:val="14"/>
  </w:num>
  <w:num w:numId="8" w16cid:durableId="1171264047">
    <w:abstractNumId w:val="25"/>
  </w:num>
  <w:num w:numId="9" w16cid:durableId="453790691">
    <w:abstractNumId w:val="16"/>
  </w:num>
  <w:num w:numId="10" w16cid:durableId="1809398919">
    <w:abstractNumId w:val="1"/>
  </w:num>
  <w:num w:numId="11" w16cid:durableId="587079199">
    <w:abstractNumId w:val="21"/>
  </w:num>
  <w:num w:numId="12" w16cid:durableId="710035582">
    <w:abstractNumId w:val="23"/>
  </w:num>
  <w:num w:numId="13" w16cid:durableId="1863666999">
    <w:abstractNumId w:val="30"/>
  </w:num>
  <w:num w:numId="14" w16cid:durableId="1473449695">
    <w:abstractNumId w:val="31"/>
  </w:num>
  <w:num w:numId="15" w16cid:durableId="1804881886">
    <w:abstractNumId w:val="10"/>
  </w:num>
  <w:num w:numId="16" w16cid:durableId="1808475560">
    <w:abstractNumId w:val="22"/>
  </w:num>
  <w:num w:numId="17" w16cid:durableId="1780759049">
    <w:abstractNumId w:val="26"/>
  </w:num>
  <w:num w:numId="18" w16cid:durableId="1426730788">
    <w:abstractNumId w:val="7"/>
  </w:num>
  <w:num w:numId="19" w16cid:durableId="1402562224">
    <w:abstractNumId w:val="12"/>
  </w:num>
  <w:num w:numId="20" w16cid:durableId="1404520733">
    <w:abstractNumId w:val="19"/>
  </w:num>
  <w:num w:numId="21" w16cid:durableId="812672366">
    <w:abstractNumId w:val="3"/>
  </w:num>
  <w:num w:numId="22" w16cid:durableId="1055395525">
    <w:abstractNumId w:val="29"/>
  </w:num>
  <w:num w:numId="23" w16cid:durableId="778139222">
    <w:abstractNumId w:val="28"/>
  </w:num>
  <w:num w:numId="24" w16cid:durableId="1605306354">
    <w:abstractNumId w:val="0"/>
  </w:num>
  <w:num w:numId="25" w16cid:durableId="1505971789">
    <w:abstractNumId w:val="5"/>
  </w:num>
  <w:num w:numId="26" w16cid:durableId="458185005">
    <w:abstractNumId w:val="15"/>
  </w:num>
  <w:num w:numId="27" w16cid:durableId="1860925511">
    <w:abstractNumId w:val="18"/>
  </w:num>
  <w:num w:numId="28" w16cid:durableId="1148938338">
    <w:abstractNumId w:val="13"/>
  </w:num>
  <w:num w:numId="29" w16cid:durableId="1194466688">
    <w:abstractNumId w:val="9"/>
  </w:num>
  <w:num w:numId="30" w16cid:durableId="1669165831">
    <w:abstractNumId w:val="32"/>
  </w:num>
  <w:num w:numId="31" w16cid:durableId="605424042">
    <w:abstractNumId w:val="11"/>
  </w:num>
  <w:num w:numId="32" w16cid:durableId="1537040668">
    <w:abstractNumId w:val="27"/>
  </w:num>
  <w:num w:numId="33" w16cid:durableId="1587229664">
    <w:abstractNumId w:val="33"/>
  </w:num>
  <w:num w:numId="34" w16cid:durableId="101797267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yal Burney">
    <w15:presenceInfo w15:providerId="AD" w15:userId="S::k23141804@kcl.ac.uk::b440048c-a4fb-4510-8110-f283f04c8e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84D"/>
    <w:rsid w:val="0000083D"/>
    <w:rsid w:val="000026E3"/>
    <w:rsid w:val="0000435A"/>
    <w:rsid w:val="00005A8A"/>
    <w:rsid w:val="00007606"/>
    <w:rsid w:val="0000790C"/>
    <w:rsid w:val="000125EE"/>
    <w:rsid w:val="00012ABC"/>
    <w:rsid w:val="00016837"/>
    <w:rsid w:val="000203A8"/>
    <w:rsid w:val="0002191D"/>
    <w:rsid w:val="000253F3"/>
    <w:rsid w:val="00025877"/>
    <w:rsid w:val="00032A60"/>
    <w:rsid w:val="00037287"/>
    <w:rsid w:val="00040160"/>
    <w:rsid w:val="00040BB4"/>
    <w:rsid w:val="00041680"/>
    <w:rsid w:val="00043019"/>
    <w:rsid w:val="000449C2"/>
    <w:rsid w:val="000463D3"/>
    <w:rsid w:val="000472B6"/>
    <w:rsid w:val="000508E8"/>
    <w:rsid w:val="00055DC8"/>
    <w:rsid w:val="00062AC5"/>
    <w:rsid w:val="00062EAD"/>
    <w:rsid w:val="00063DC2"/>
    <w:rsid w:val="00064A66"/>
    <w:rsid w:val="000657C3"/>
    <w:rsid w:val="00065EEE"/>
    <w:rsid w:val="000670AB"/>
    <w:rsid w:val="00070EE8"/>
    <w:rsid w:val="000735BA"/>
    <w:rsid w:val="00074FC7"/>
    <w:rsid w:val="0007534E"/>
    <w:rsid w:val="000760F9"/>
    <w:rsid w:val="000772CE"/>
    <w:rsid w:val="00084D6C"/>
    <w:rsid w:val="00093E2C"/>
    <w:rsid w:val="00095AD4"/>
    <w:rsid w:val="000A00B7"/>
    <w:rsid w:val="000A0F4A"/>
    <w:rsid w:val="000A13A7"/>
    <w:rsid w:val="000A5D98"/>
    <w:rsid w:val="000A67FB"/>
    <w:rsid w:val="000B117F"/>
    <w:rsid w:val="000B23A5"/>
    <w:rsid w:val="000B2B9E"/>
    <w:rsid w:val="000B36E3"/>
    <w:rsid w:val="000B5212"/>
    <w:rsid w:val="000C0E5A"/>
    <w:rsid w:val="000C1326"/>
    <w:rsid w:val="000C28D3"/>
    <w:rsid w:val="000C3814"/>
    <w:rsid w:val="000C5E3B"/>
    <w:rsid w:val="000D2479"/>
    <w:rsid w:val="000D265E"/>
    <w:rsid w:val="000D3884"/>
    <w:rsid w:val="000D4297"/>
    <w:rsid w:val="000D6999"/>
    <w:rsid w:val="000E0F04"/>
    <w:rsid w:val="000F3503"/>
    <w:rsid w:val="000F4908"/>
    <w:rsid w:val="000F5CCF"/>
    <w:rsid w:val="000F61A6"/>
    <w:rsid w:val="000F7D60"/>
    <w:rsid w:val="00100009"/>
    <w:rsid w:val="00100089"/>
    <w:rsid w:val="00101DCC"/>
    <w:rsid w:val="0010632C"/>
    <w:rsid w:val="00107960"/>
    <w:rsid w:val="00110BB6"/>
    <w:rsid w:val="00112B8F"/>
    <w:rsid w:val="00112CD3"/>
    <w:rsid w:val="00115DA3"/>
    <w:rsid w:val="00125BC0"/>
    <w:rsid w:val="0013053F"/>
    <w:rsid w:val="00132A4A"/>
    <w:rsid w:val="0014060B"/>
    <w:rsid w:val="00141D19"/>
    <w:rsid w:val="00142231"/>
    <w:rsid w:val="00145CBC"/>
    <w:rsid w:val="00152EE4"/>
    <w:rsid w:val="00154338"/>
    <w:rsid w:val="0015488E"/>
    <w:rsid w:val="001606E9"/>
    <w:rsid w:val="00163EAD"/>
    <w:rsid w:val="00165419"/>
    <w:rsid w:val="00172571"/>
    <w:rsid w:val="00172807"/>
    <w:rsid w:val="00180C17"/>
    <w:rsid w:val="00180D04"/>
    <w:rsid w:val="00182B0F"/>
    <w:rsid w:val="00182BA3"/>
    <w:rsid w:val="0018331E"/>
    <w:rsid w:val="00184C3E"/>
    <w:rsid w:val="00184C90"/>
    <w:rsid w:val="001866D9"/>
    <w:rsid w:val="001866F7"/>
    <w:rsid w:val="00192F32"/>
    <w:rsid w:val="001937F8"/>
    <w:rsid w:val="00197C61"/>
    <w:rsid w:val="001A65CB"/>
    <w:rsid w:val="001A6CC4"/>
    <w:rsid w:val="001B2177"/>
    <w:rsid w:val="001B42BE"/>
    <w:rsid w:val="001B4D0D"/>
    <w:rsid w:val="001C515F"/>
    <w:rsid w:val="001C53A9"/>
    <w:rsid w:val="001C7BEA"/>
    <w:rsid w:val="001D0A04"/>
    <w:rsid w:val="001D0D26"/>
    <w:rsid w:val="001D123E"/>
    <w:rsid w:val="001D402F"/>
    <w:rsid w:val="001D6507"/>
    <w:rsid w:val="001D765D"/>
    <w:rsid w:val="001E432E"/>
    <w:rsid w:val="001E63A3"/>
    <w:rsid w:val="001F09D1"/>
    <w:rsid w:val="001F17FE"/>
    <w:rsid w:val="001F2521"/>
    <w:rsid w:val="001F2668"/>
    <w:rsid w:val="001F4E60"/>
    <w:rsid w:val="002023C8"/>
    <w:rsid w:val="0020285F"/>
    <w:rsid w:val="0020514C"/>
    <w:rsid w:val="00205ED6"/>
    <w:rsid w:val="002074F2"/>
    <w:rsid w:val="00210BB8"/>
    <w:rsid w:val="00210D89"/>
    <w:rsid w:val="00212332"/>
    <w:rsid w:val="00212C4D"/>
    <w:rsid w:val="002152A7"/>
    <w:rsid w:val="00220A67"/>
    <w:rsid w:val="002229D1"/>
    <w:rsid w:val="00223E3C"/>
    <w:rsid w:val="00231556"/>
    <w:rsid w:val="0023188A"/>
    <w:rsid w:val="00233BFB"/>
    <w:rsid w:val="00242276"/>
    <w:rsid w:val="00243BE6"/>
    <w:rsid w:val="00243D51"/>
    <w:rsid w:val="002444C0"/>
    <w:rsid w:val="0024452D"/>
    <w:rsid w:val="00245B77"/>
    <w:rsid w:val="0024741D"/>
    <w:rsid w:val="00252B28"/>
    <w:rsid w:val="002612F6"/>
    <w:rsid w:val="00262464"/>
    <w:rsid w:val="00263179"/>
    <w:rsid w:val="00263F81"/>
    <w:rsid w:val="00266A13"/>
    <w:rsid w:val="002670D4"/>
    <w:rsid w:val="00267E24"/>
    <w:rsid w:val="00270C07"/>
    <w:rsid w:val="00271B48"/>
    <w:rsid w:val="002731A2"/>
    <w:rsid w:val="002754B6"/>
    <w:rsid w:val="00282566"/>
    <w:rsid w:val="00284D32"/>
    <w:rsid w:val="002862C4"/>
    <w:rsid w:val="0029147A"/>
    <w:rsid w:val="00291B32"/>
    <w:rsid w:val="00293656"/>
    <w:rsid w:val="00293D05"/>
    <w:rsid w:val="00296BFE"/>
    <w:rsid w:val="002973E9"/>
    <w:rsid w:val="002A10D9"/>
    <w:rsid w:val="002A44F1"/>
    <w:rsid w:val="002A5AD6"/>
    <w:rsid w:val="002A7392"/>
    <w:rsid w:val="002B1BFE"/>
    <w:rsid w:val="002B4910"/>
    <w:rsid w:val="002B5401"/>
    <w:rsid w:val="002B54D0"/>
    <w:rsid w:val="002B79BA"/>
    <w:rsid w:val="002C0247"/>
    <w:rsid w:val="002C083E"/>
    <w:rsid w:val="002C0925"/>
    <w:rsid w:val="002C09B5"/>
    <w:rsid w:val="002C187F"/>
    <w:rsid w:val="002C1F6E"/>
    <w:rsid w:val="002C293D"/>
    <w:rsid w:val="002C3D9C"/>
    <w:rsid w:val="002C4F08"/>
    <w:rsid w:val="002C637F"/>
    <w:rsid w:val="002C741E"/>
    <w:rsid w:val="002C7C4A"/>
    <w:rsid w:val="002C7EAB"/>
    <w:rsid w:val="002D0556"/>
    <w:rsid w:val="002D38AD"/>
    <w:rsid w:val="002D3EC3"/>
    <w:rsid w:val="002D47F0"/>
    <w:rsid w:val="002D5478"/>
    <w:rsid w:val="002D6369"/>
    <w:rsid w:val="002D71C3"/>
    <w:rsid w:val="002E1D27"/>
    <w:rsid w:val="002E5144"/>
    <w:rsid w:val="002E6CDD"/>
    <w:rsid w:val="002F0501"/>
    <w:rsid w:val="002F245C"/>
    <w:rsid w:val="002F3404"/>
    <w:rsid w:val="002F4855"/>
    <w:rsid w:val="002F61BE"/>
    <w:rsid w:val="00302261"/>
    <w:rsid w:val="00304EE7"/>
    <w:rsid w:val="003066AB"/>
    <w:rsid w:val="00314880"/>
    <w:rsid w:val="00320E59"/>
    <w:rsid w:val="00322388"/>
    <w:rsid w:val="00324DBD"/>
    <w:rsid w:val="003252E6"/>
    <w:rsid w:val="003258E2"/>
    <w:rsid w:val="00327B9E"/>
    <w:rsid w:val="003319B2"/>
    <w:rsid w:val="00333C7D"/>
    <w:rsid w:val="00337201"/>
    <w:rsid w:val="00340BE7"/>
    <w:rsid w:val="0034202E"/>
    <w:rsid w:val="003430DC"/>
    <w:rsid w:val="00343327"/>
    <w:rsid w:val="00343C52"/>
    <w:rsid w:val="003449AB"/>
    <w:rsid w:val="00344F9D"/>
    <w:rsid w:val="003529DE"/>
    <w:rsid w:val="0035325F"/>
    <w:rsid w:val="003536C8"/>
    <w:rsid w:val="00357EA3"/>
    <w:rsid w:val="003635EF"/>
    <w:rsid w:val="00364103"/>
    <w:rsid w:val="003650CB"/>
    <w:rsid w:val="00365895"/>
    <w:rsid w:val="003676A5"/>
    <w:rsid w:val="003730B9"/>
    <w:rsid w:val="00373593"/>
    <w:rsid w:val="00375CAB"/>
    <w:rsid w:val="00380908"/>
    <w:rsid w:val="00383D43"/>
    <w:rsid w:val="003869C5"/>
    <w:rsid w:val="00386FB8"/>
    <w:rsid w:val="00387F9E"/>
    <w:rsid w:val="003904EF"/>
    <w:rsid w:val="00390CB0"/>
    <w:rsid w:val="003914E0"/>
    <w:rsid w:val="0039242D"/>
    <w:rsid w:val="00392433"/>
    <w:rsid w:val="00392C2F"/>
    <w:rsid w:val="00393317"/>
    <w:rsid w:val="00394D03"/>
    <w:rsid w:val="0039548B"/>
    <w:rsid w:val="00395D9F"/>
    <w:rsid w:val="003A5020"/>
    <w:rsid w:val="003A6F9E"/>
    <w:rsid w:val="003B0001"/>
    <w:rsid w:val="003B0B94"/>
    <w:rsid w:val="003B12AF"/>
    <w:rsid w:val="003B2D16"/>
    <w:rsid w:val="003B31AF"/>
    <w:rsid w:val="003B4C4D"/>
    <w:rsid w:val="003B72FB"/>
    <w:rsid w:val="003B7524"/>
    <w:rsid w:val="003C01A8"/>
    <w:rsid w:val="003C415B"/>
    <w:rsid w:val="003C489B"/>
    <w:rsid w:val="003C578A"/>
    <w:rsid w:val="003C6682"/>
    <w:rsid w:val="003D0409"/>
    <w:rsid w:val="003D06F4"/>
    <w:rsid w:val="003D282B"/>
    <w:rsid w:val="003D3870"/>
    <w:rsid w:val="003D4478"/>
    <w:rsid w:val="003D76F8"/>
    <w:rsid w:val="003E199F"/>
    <w:rsid w:val="003E208E"/>
    <w:rsid w:val="003E2DB7"/>
    <w:rsid w:val="003E3AE9"/>
    <w:rsid w:val="003E6813"/>
    <w:rsid w:val="003F0031"/>
    <w:rsid w:val="003F19EA"/>
    <w:rsid w:val="003F1D93"/>
    <w:rsid w:val="003F2E73"/>
    <w:rsid w:val="003F39C4"/>
    <w:rsid w:val="003F6EF2"/>
    <w:rsid w:val="003F7706"/>
    <w:rsid w:val="004010DA"/>
    <w:rsid w:val="00401A14"/>
    <w:rsid w:val="0040293F"/>
    <w:rsid w:val="00410297"/>
    <w:rsid w:val="00413213"/>
    <w:rsid w:val="00414F59"/>
    <w:rsid w:val="00415BA3"/>
    <w:rsid w:val="00416E65"/>
    <w:rsid w:val="0042123B"/>
    <w:rsid w:val="0042211B"/>
    <w:rsid w:val="004237DA"/>
    <w:rsid w:val="00424606"/>
    <w:rsid w:val="00425082"/>
    <w:rsid w:val="0042538B"/>
    <w:rsid w:val="00426773"/>
    <w:rsid w:val="004304B9"/>
    <w:rsid w:val="00431707"/>
    <w:rsid w:val="00433518"/>
    <w:rsid w:val="004378C0"/>
    <w:rsid w:val="0043791E"/>
    <w:rsid w:val="00440007"/>
    <w:rsid w:val="00442288"/>
    <w:rsid w:val="00445289"/>
    <w:rsid w:val="00447978"/>
    <w:rsid w:val="00447CE2"/>
    <w:rsid w:val="004530B3"/>
    <w:rsid w:val="004569DD"/>
    <w:rsid w:val="0046054C"/>
    <w:rsid w:val="00460D97"/>
    <w:rsid w:val="004667BC"/>
    <w:rsid w:val="0047215F"/>
    <w:rsid w:val="00473667"/>
    <w:rsid w:val="00474FB4"/>
    <w:rsid w:val="0047541A"/>
    <w:rsid w:val="00482445"/>
    <w:rsid w:val="004855D5"/>
    <w:rsid w:val="00485C7E"/>
    <w:rsid w:val="004874A8"/>
    <w:rsid w:val="00491AE8"/>
    <w:rsid w:val="00492093"/>
    <w:rsid w:val="00494319"/>
    <w:rsid w:val="0049510B"/>
    <w:rsid w:val="0049688B"/>
    <w:rsid w:val="004972A6"/>
    <w:rsid w:val="004A1ABF"/>
    <w:rsid w:val="004A3D37"/>
    <w:rsid w:val="004A61DF"/>
    <w:rsid w:val="004A6CA8"/>
    <w:rsid w:val="004A7184"/>
    <w:rsid w:val="004B1736"/>
    <w:rsid w:val="004C201F"/>
    <w:rsid w:val="004C2C6A"/>
    <w:rsid w:val="004C6E85"/>
    <w:rsid w:val="004D1CBA"/>
    <w:rsid w:val="004D2BF6"/>
    <w:rsid w:val="004E0AA0"/>
    <w:rsid w:val="004E15B6"/>
    <w:rsid w:val="004E30C3"/>
    <w:rsid w:val="004E43B4"/>
    <w:rsid w:val="004E5B8E"/>
    <w:rsid w:val="004F120A"/>
    <w:rsid w:val="004F2A7D"/>
    <w:rsid w:val="004F3E8A"/>
    <w:rsid w:val="004F60A1"/>
    <w:rsid w:val="00501F56"/>
    <w:rsid w:val="00503ECA"/>
    <w:rsid w:val="00506113"/>
    <w:rsid w:val="005070FF"/>
    <w:rsid w:val="00507582"/>
    <w:rsid w:val="005106F7"/>
    <w:rsid w:val="00511B6E"/>
    <w:rsid w:val="0051555D"/>
    <w:rsid w:val="00517562"/>
    <w:rsid w:val="00522265"/>
    <w:rsid w:val="00523CB6"/>
    <w:rsid w:val="00523D0B"/>
    <w:rsid w:val="005248C9"/>
    <w:rsid w:val="00526EB3"/>
    <w:rsid w:val="0053020F"/>
    <w:rsid w:val="00530EE3"/>
    <w:rsid w:val="00531A15"/>
    <w:rsid w:val="0054015E"/>
    <w:rsid w:val="0054074E"/>
    <w:rsid w:val="0054365D"/>
    <w:rsid w:val="005442ED"/>
    <w:rsid w:val="0054454C"/>
    <w:rsid w:val="00544A1F"/>
    <w:rsid w:val="005455B1"/>
    <w:rsid w:val="00546720"/>
    <w:rsid w:val="005468FE"/>
    <w:rsid w:val="00550099"/>
    <w:rsid w:val="00550931"/>
    <w:rsid w:val="00550E03"/>
    <w:rsid w:val="005527BD"/>
    <w:rsid w:val="005528EC"/>
    <w:rsid w:val="00553EA9"/>
    <w:rsid w:val="00557D4D"/>
    <w:rsid w:val="00560D85"/>
    <w:rsid w:val="00564C43"/>
    <w:rsid w:val="00564D47"/>
    <w:rsid w:val="00567D7B"/>
    <w:rsid w:val="00571423"/>
    <w:rsid w:val="00572EA2"/>
    <w:rsid w:val="00582CFF"/>
    <w:rsid w:val="00585175"/>
    <w:rsid w:val="005928BE"/>
    <w:rsid w:val="0059309A"/>
    <w:rsid w:val="00595066"/>
    <w:rsid w:val="00596037"/>
    <w:rsid w:val="0059641E"/>
    <w:rsid w:val="005A0317"/>
    <w:rsid w:val="005A0318"/>
    <w:rsid w:val="005A6691"/>
    <w:rsid w:val="005A6F2D"/>
    <w:rsid w:val="005B320A"/>
    <w:rsid w:val="005B5B70"/>
    <w:rsid w:val="005B5F13"/>
    <w:rsid w:val="005C336F"/>
    <w:rsid w:val="005C398D"/>
    <w:rsid w:val="005C5931"/>
    <w:rsid w:val="005C70C2"/>
    <w:rsid w:val="005D61B0"/>
    <w:rsid w:val="005D794D"/>
    <w:rsid w:val="005D7EFF"/>
    <w:rsid w:val="005E1AE1"/>
    <w:rsid w:val="005E2578"/>
    <w:rsid w:val="005E3CA0"/>
    <w:rsid w:val="005E4A95"/>
    <w:rsid w:val="005F091B"/>
    <w:rsid w:val="005F0AB7"/>
    <w:rsid w:val="005F1BA1"/>
    <w:rsid w:val="005F32BC"/>
    <w:rsid w:val="005F48F6"/>
    <w:rsid w:val="006031DB"/>
    <w:rsid w:val="00611751"/>
    <w:rsid w:val="00612275"/>
    <w:rsid w:val="00613621"/>
    <w:rsid w:val="006150F0"/>
    <w:rsid w:val="0062081A"/>
    <w:rsid w:val="0062143C"/>
    <w:rsid w:val="0062180A"/>
    <w:rsid w:val="00622B17"/>
    <w:rsid w:val="00623760"/>
    <w:rsid w:val="00625840"/>
    <w:rsid w:val="00626BB0"/>
    <w:rsid w:val="006270A8"/>
    <w:rsid w:val="00630AFE"/>
    <w:rsid w:val="00631C8E"/>
    <w:rsid w:val="00631D4F"/>
    <w:rsid w:val="00635860"/>
    <w:rsid w:val="00636D90"/>
    <w:rsid w:val="00637324"/>
    <w:rsid w:val="00647C43"/>
    <w:rsid w:val="006512BC"/>
    <w:rsid w:val="0065234A"/>
    <w:rsid w:val="00654517"/>
    <w:rsid w:val="00654F64"/>
    <w:rsid w:val="00655410"/>
    <w:rsid w:val="00655772"/>
    <w:rsid w:val="006562F7"/>
    <w:rsid w:val="00657EAA"/>
    <w:rsid w:val="0066129D"/>
    <w:rsid w:val="0066183B"/>
    <w:rsid w:val="00661FCD"/>
    <w:rsid w:val="00664BFB"/>
    <w:rsid w:val="0066643C"/>
    <w:rsid w:val="00672934"/>
    <w:rsid w:val="006754F6"/>
    <w:rsid w:val="00680452"/>
    <w:rsid w:val="006812DD"/>
    <w:rsid w:val="00682D10"/>
    <w:rsid w:val="006843CD"/>
    <w:rsid w:val="00684B0F"/>
    <w:rsid w:val="0068561C"/>
    <w:rsid w:val="00685BDC"/>
    <w:rsid w:val="00685F00"/>
    <w:rsid w:val="00687A3C"/>
    <w:rsid w:val="00691592"/>
    <w:rsid w:val="0069377E"/>
    <w:rsid w:val="00694921"/>
    <w:rsid w:val="00697EB5"/>
    <w:rsid w:val="006A0A1B"/>
    <w:rsid w:val="006A16D2"/>
    <w:rsid w:val="006A1B4D"/>
    <w:rsid w:val="006B2F72"/>
    <w:rsid w:val="006B3D84"/>
    <w:rsid w:val="006B46E8"/>
    <w:rsid w:val="006B5B83"/>
    <w:rsid w:val="006C3573"/>
    <w:rsid w:val="006C6277"/>
    <w:rsid w:val="006C7D55"/>
    <w:rsid w:val="006D3065"/>
    <w:rsid w:val="006D4169"/>
    <w:rsid w:val="006D7148"/>
    <w:rsid w:val="006E1833"/>
    <w:rsid w:val="006E4C46"/>
    <w:rsid w:val="006E7F26"/>
    <w:rsid w:val="006F3CD2"/>
    <w:rsid w:val="006F4ACB"/>
    <w:rsid w:val="006F5D8D"/>
    <w:rsid w:val="006F6935"/>
    <w:rsid w:val="0071464D"/>
    <w:rsid w:val="007164AB"/>
    <w:rsid w:val="0071788C"/>
    <w:rsid w:val="007206B2"/>
    <w:rsid w:val="007212C6"/>
    <w:rsid w:val="00724195"/>
    <w:rsid w:val="00724B5B"/>
    <w:rsid w:val="00727E2E"/>
    <w:rsid w:val="00733933"/>
    <w:rsid w:val="00735E72"/>
    <w:rsid w:val="00740482"/>
    <w:rsid w:val="00740956"/>
    <w:rsid w:val="007447EF"/>
    <w:rsid w:val="00751F78"/>
    <w:rsid w:val="007612B6"/>
    <w:rsid w:val="0076270C"/>
    <w:rsid w:val="007632AB"/>
    <w:rsid w:val="00763788"/>
    <w:rsid w:val="007735A6"/>
    <w:rsid w:val="00777267"/>
    <w:rsid w:val="007777DC"/>
    <w:rsid w:val="00784911"/>
    <w:rsid w:val="00790D57"/>
    <w:rsid w:val="00791F37"/>
    <w:rsid w:val="007923FE"/>
    <w:rsid w:val="007941AF"/>
    <w:rsid w:val="00794748"/>
    <w:rsid w:val="007A01FD"/>
    <w:rsid w:val="007A08E6"/>
    <w:rsid w:val="007A128B"/>
    <w:rsid w:val="007A1825"/>
    <w:rsid w:val="007A22A8"/>
    <w:rsid w:val="007A2AC8"/>
    <w:rsid w:val="007A2C64"/>
    <w:rsid w:val="007A37D7"/>
    <w:rsid w:val="007A6CF8"/>
    <w:rsid w:val="007B2269"/>
    <w:rsid w:val="007B2ECD"/>
    <w:rsid w:val="007C2CCC"/>
    <w:rsid w:val="007C2E02"/>
    <w:rsid w:val="007C6ECB"/>
    <w:rsid w:val="007E1651"/>
    <w:rsid w:val="007E31B9"/>
    <w:rsid w:val="007E35C9"/>
    <w:rsid w:val="007E7EA9"/>
    <w:rsid w:val="007F310B"/>
    <w:rsid w:val="007F4CC2"/>
    <w:rsid w:val="007F578F"/>
    <w:rsid w:val="007F5A06"/>
    <w:rsid w:val="007F6906"/>
    <w:rsid w:val="007F6BCC"/>
    <w:rsid w:val="007F71AA"/>
    <w:rsid w:val="007F7EE6"/>
    <w:rsid w:val="0080003F"/>
    <w:rsid w:val="00800C13"/>
    <w:rsid w:val="0080211B"/>
    <w:rsid w:val="00805222"/>
    <w:rsid w:val="008136F1"/>
    <w:rsid w:val="008157E0"/>
    <w:rsid w:val="00820650"/>
    <w:rsid w:val="008234AF"/>
    <w:rsid w:val="00825180"/>
    <w:rsid w:val="008265D3"/>
    <w:rsid w:val="008267CE"/>
    <w:rsid w:val="0082698F"/>
    <w:rsid w:val="00826EB9"/>
    <w:rsid w:val="008308FD"/>
    <w:rsid w:val="00832ADB"/>
    <w:rsid w:val="00834089"/>
    <w:rsid w:val="00836400"/>
    <w:rsid w:val="00836C49"/>
    <w:rsid w:val="00837310"/>
    <w:rsid w:val="008377EA"/>
    <w:rsid w:val="008561AD"/>
    <w:rsid w:val="008572A7"/>
    <w:rsid w:val="00857EE7"/>
    <w:rsid w:val="008606CE"/>
    <w:rsid w:val="00861BD1"/>
    <w:rsid w:val="00862645"/>
    <w:rsid w:val="00862EC1"/>
    <w:rsid w:val="00865021"/>
    <w:rsid w:val="0086553A"/>
    <w:rsid w:val="0087383B"/>
    <w:rsid w:val="00875FD0"/>
    <w:rsid w:val="00877658"/>
    <w:rsid w:val="00877FA8"/>
    <w:rsid w:val="0088048A"/>
    <w:rsid w:val="00881876"/>
    <w:rsid w:val="00882A74"/>
    <w:rsid w:val="00883F87"/>
    <w:rsid w:val="00884332"/>
    <w:rsid w:val="00887A56"/>
    <w:rsid w:val="00892A70"/>
    <w:rsid w:val="00893BC3"/>
    <w:rsid w:val="00893FFC"/>
    <w:rsid w:val="00895024"/>
    <w:rsid w:val="00895F37"/>
    <w:rsid w:val="00897D9F"/>
    <w:rsid w:val="008A007E"/>
    <w:rsid w:val="008A18A3"/>
    <w:rsid w:val="008A5DAA"/>
    <w:rsid w:val="008B2819"/>
    <w:rsid w:val="008B2F1E"/>
    <w:rsid w:val="008B30FB"/>
    <w:rsid w:val="008B580C"/>
    <w:rsid w:val="008B5DAF"/>
    <w:rsid w:val="008C2072"/>
    <w:rsid w:val="008C2F36"/>
    <w:rsid w:val="008C3858"/>
    <w:rsid w:val="008C69B0"/>
    <w:rsid w:val="008D11FA"/>
    <w:rsid w:val="008D4FAE"/>
    <w:rsid w:val="008F4EE6"/>
    <w:rsid w:val="008F6DF4"/>
    <w:rsid w:val="00912C59"/>
    <w:rsid w:val="00912E49"/>
    <w:rsid w:val="009133F3"/>
    <w:rsid w:val="00913A07"/>
    <w:rsid w:val="009151E8"/>
    <w:rsid w:val="009167B2"/>
    <w:rsid w:val="0092693D"/>
    <w:rsid w:val="00926EDD"/>
    <w:rsid w:val="0093396A"/>
    <w:rsid w:val="00934894"/>
    <w:rsid w:val="00936B31"/>
    <w:rsid w:val="009412B5"/>
    <w:rsid w:val="009425A8"/>
    <w:rsid w:val="00942F92"/>
    <w:rsid w:val="00945620"/>
    <w:rsid w:val="00952375"/>
    <w:rsid w:val="00952FB6"/>
    <w:rsid w:val="00952FD3"/>
    <w:rsid w:val="00962E1A"/>
    <w:rsid w:val="00962E3A"/>
    <w:rsid w:val="009644DE"/>
    <w:rsid w:val="00965E56"/>
    <w:rsid w:val="00967191"/>
    <w:rsid w:val="00967A95"/>
    <w:rsid w:val="00971DF8"/>
    <w:rsid w:val="0097773C"/>
    <w:rsid w:val="00982FFB"/>
    <w:rsid w:val="009830B0"/>
    <w:rsid w:val="00984830"/>
    <w:rsid w:val="009860D4"/>
    <w:rsid w:val="009867B5"/>
    <w:rsid w:val="00986FBC"/>
    <w:rsid w:val="0099117E"/>
    <w:rsid w:val="00993070"/>
    <w:rsid w:val="009A0111"/>
    <w:rsid w:val="009A1ED1"/>
    <w:rsid w:val="009A239D"/>
    <w:rsid w:val="009A4D5D"/>
    <w:rsid w:val="009A5A97"/>
    <w:rsid w:val="009B1BCB"/>
    <w:rsid w:val="009B384D"/>
    <w:rsid w:val="009B698D"/>
    <w:rsid w:val="009B7FC3"/>
    <w:rsid w:val="009C3670"/>
    <w:rsid w:val="009D0E09"/>
    <w:rsid w:val="009D1644"/>
    <w:rsid w:val="009D4598"/>
    <w:rsid w:val="009E0643"/>
    <w:rsid w:val="009E3976"/>
    <w:rsid w:val="009E44DE"/>
    <w:rsid w:val="009F0423"/>
    <w:rsid w:val="009F0F03"/>
    <w:rsid w:val="009F5658"/>
    <w:rsid w:val="00A02B39"/>
    <w:rsid w:val="00A04235"/>
    <w:rsid w:val="00A04A30"/>
    <w:rsid w:val="00A05FE8"/>
    <w:rsid w:val="00A10A72"/>
    <w:rsid w:val="00A110F5"/>
    <w:rsid w:val="00A112F9"/>
    <w:rsid w:val="00A1148D"/>
    <w:rsid w:val="00A14C45"/>
    <w:rsid w:val="00A15E90"/>
    <w:rsid w:val="00A16A3D"/>
    <w:rsid w:val="00A20A30"/>
    <w:rsid w:val="00A20AC7"/>
    <w:rsid w:val="00A249FB"/>
    <w:rsid w:val="00A252C9"/>
    <w:rsid w:val="00A25C6C"/>
    <w:rsid w:val="00A27560"/>
    <w:rsid w:val="00A35E10"/>
    <w:rsid w:val="00A4305B"/>
    <w:rsid w:val="00A449AF"/>
    <w:rsid w:val="00A44E4E"/>
    <w:rsid w:val="00A52783"/>
    <w:rsid w:val="00A5668E"/>
    <w:rsid w:val="00A612BC"/>
    <w:rsid w:val="00A653EF"/>
    <w:rsid w:val="00A65F69"/>
    <w:rsid w:val="00A75F0B"/>
    <w:rsid w:val="00A77FBC"/>
    <w:rsid w:val="00A8137F"/>
    <w:rsid w:val="00A82D14"/>
    <w:rsid w:val="00A85309"/>
    <w:rsid w:val="00A86355"/>
    <w:rsid w:val="00A86C14"/>
    <w:rsid w:val="00A874F3"/>
    <w:rsid w:val="00A87946"/>
    <w:rsid w:val="00A90AB5"/>
    <w:rsid w:val="00A92456"/>
    <w:rsid w:val="00A93659"/>
    <w:rsid w:val="00A95745"/>
    <w:rsid w:val="00A97D16"/>
    <w:rsid w:val="00AA10EB"/>
    <w:rsid w:val="00AA1E4D"/>
    <w:rsid w:val="00AB0CEB"/>
    <w:rsid w:val="00AB1006"/>
    <w:rsid w:val="00AB55BB"/>
    <w:rsid w:val="00AB6A4F"/>
    <w:rsid w:val="00AB724D"/>
    <w:rsid w:val="00AC2BB4"/>
    <w:rsid w:val="00AC355B"/>
    <w:rsid w:val="00AD1377"/>
    <w:rsid w:val="00AD1D95"/>
    <w:rsid w:val="00AD2FCC"/>
    <w:rsid w:val="00AD3122"/>
    <w:rsid w:val="00AD63EC"/>
    <w:rsid w:val="00AD7B9B"/>
    <w:rsid w:val="00AD7CDD"/>
    <w:rsid w:val="00AE7030"/>
    <w:rsid w:val="00AE7371"/>
    <w:rsid w:val="00AE7B14"/>
    <w:rsid w:val="00AF1715"/>
    <w:rsid w:val="00AF31E9"/>
    <w:rsid w:val="00AF4D1A"/>
    <w:rsid w:val="00AF7ACF"/>
    <w:rsid w:val="00B04ABE"/>
    <w:rsid w:val="00B05912"/>
    <w:rsid w:val="00B13544"/>
    <w:rsid w:val="00B14ABD"/>
    <w:rsid w:val="00B16068"/>
    <w:rsid w:val="00B26886"/>
    <w:rsid w:val="00B27449"/>
    <w:rsid w:val="00B27489"/>
    <w:rsid w:val="00B274E5"/>
    <w:rsid w:val="00B3145A"/>
    <w:rsid w:val="00B31600"/>
    <w:rsid w:val="00B32B17"/>
    <w:rsid w:val="00B32B55"/>
    <w:rsid w:val="00B370A6"/>
    <w:rsid w:val="00B43CD8"/>
    <w:rsid w:val="00B44491"/>
    <w:rsid w:val="00B44D81"/>
    <w:rsid w:val="00B4609E"/>
    <w:rsid w:val="00B464B5"/>
    <w:rsid w:val="00B469E9"/>
    <w:rsid w:val="00B47DE8"/>
    <w:rsid w:val="00B47DF0"/>
    <w:rsid w:val="00B503D9"/>
    <w:rsid w:val="00B5059A"/>
    <w:rsid w:val="00B50B67"/>
    <w:rsid w:val="00B51429"/>
    <w:rsid w:val="00B51B0B"/>
    <w:rsid w:val="00B51FAB"/>
    <w:rsid w:val="00B52FE6"/>
    <w:rsid w:val="00B53641"/>
    <w:rsid w:val="00B54915"/>
    <w:rsid w:val="00B56601"/>
    <w:rsid w:val="00B602EB"/>
    <w:rsid w:val="00B60D79"/>
    <w:rsid w:val="00B61169"/>
    <w:rsid w:val="00B64485"/>
    <w:rsid w:val="00B65FA1"/>
    <w:rsid w:val="00B6694A"/>
    <w:rsid w:val="00B70FAB"/>
    <w:rsid w:val="00B7428B"/>
    <w:rsid w:val="00B74D0E"/>
    <w:rsid w:val="00B76CB9"/>
    <w:rsid w:val="00B774F1"/>
    <w:rsid w:val="00B81840"/>
    <w:rsid w:val="00B87A8A"/>
    <w:rsid w:val="00B919EA"/>
    <w:rsid w:val="00B93C39"/>
    <w:rsid w:val="00B964FD"/>
    <w:rsid w:val="00B97C3D"/>
    <w:rsid w:val="00BA0550"/>
    <w:rsid w:val="00BA0BF7"/>
    <w:rsid w:val="00BA20EE"/>
    <w:rsid w:val="00BA2F85"/>
    <w:rsid w:val="00BA3EDD"/>
    <w:rsid w:val="00BA6D53"/>
    <w:rsid w:val="00BB0A5C"/>
    <w:rsid w:val="00BB1EAC"/>
    <w:rsid w:val="00BB2F42"/>
    <w:rsid w:val="00BB62EB"/>
    <w:rsid w:val="00BB6373"/>
    <w:rsid w:val="00BB73DA"/>
    <w:rsid w:val="00BB75EB"/>
    <w:rsid w:val="00BC05BF"/>
    <w:rsid w:val="00BC2E7C"/>
    <w:rsid w:val="00BC3E46"/>
    <w:rsid w:val="00BC6A5F"/>
    <w:rsid w:val="00BC7CE0"/>
    <w:rsid w:val="00BD40F4"/>
    <w:rsid w:val="00BD4996"/>
    <w:rsid w:val="00BD4CA3"/>
    <w:rsid w:val="00BD6832"/>
    <w:rsid w:val="00BD6EB9"/>
    <w:rsid w:val="00BD6F5F"/>
    <w:rsid w:val="00BE0112"/>
    <w:rsid w:val="00BE2E89"/>
    <w:rsid w:val="00BE39E7"/>
    <w:rsid w:val="00BE7B59"/>
    <w:rsid w:val="00BF071B"/>
    <w:rsid w:val="00BF1FFB"/>
    <w:rsid w:val="00BF234F"/>
    <w:rsid w:val="00BF4344"/>
    <w:rsid w:val="00BF475D"/>
    <w:rsid w:val="00BF4A72"/>
    <w:rsid w:val="00BF6D61"/>
    <w:rsid w:val="00BF7700"/>
    <w:rsid w:val="00BF7CA1"/>
    <w:rsid w:val="00C00E01"/>
    <w:rsid w:val="00C01DF6"/>
    <w:rsid w:val="00C067FE"/>
    <w:rsid w:val="00C15958"/>
    <w:rsid w:val="00C17ABF"/>
    <w:rsid w:val="00C20D4E"/>
    <w:rsid w:val="00C31ACD"/>
    <w:rsid w:val="00C32FB8"/>
    <w:rsid w:val="00C33A7A"/>
    <w:rsid w:val="00C353BC"/>
    <w:rsid w:val="00C36C04"/>
    <w:rsid w:val="00C37AD8"/>
    <w:rsid w:val="00C43D7D"/>
    <w:rsid w:val="00C43E22"/>
    <w:rsid w:val="00C451A4"/>
    <w:rsid w:val="00C4694C"/>
    <w:rsid w:val="00C47647"/>
    <w:rsid w:val="00C479AD"/>
    <w:rsid w:val="00C47EEB"/>
    <w:rsid w:val="00C510A5"/>
    <w:rsid w:val="00C5318F"/>
    <w:rsid w:val="00C54DC8"/>
    <w:rsid w:val="00C56173"/>
    <w:rsid w:val="00C571C1"/>
    <w:rsid w:val="00C57D01"/>
    <w:rsid w:val="00C57E10"/>
    <w:rsid w:val="00C62882"/>
    <w:rsid w:val="00C67146"/>
    <w:rsid w:val="00C676F0"/>
    <w:rsid w:val="00C72A4B"/>
    <w:rsid w:val="00C739C1"/>
    <w:rsid w:val="00C7475E"/>
    <w:rsid w:val="00C75577"/>
    <w:rsid w:val="00C81258"/>
    <w:rsid w:val="00C834C2"/>
    <w:rsid w:val="00C8549F"/>
    <w:rsid w:val="00C85713"/>
    <w:rsid w:val="00C858C6"/>
    <w:rsid w:val="00C87AF6"/>
    <w:rsid w:val="00C946A1"/>
    <w:rsid w:val="00C95045"/>
    <w:rsid w:val="00C95581"/>
    <w:rsid w:val="00CA00AC"/>
    <w:rsid w:val="00CA229D"/>
    <w:rsid w:val="00CA45AA"/>
    <w:rsid w:val="00CA7023"/>
    <w:rsid w:val="00CA7464"/>
    <w:rsid w:val="00CB00A6"/>
    <w:rsid w:val="00CB1E46"/>
    <w:rsid w:val="00CB2ED8"/>
    <w:rsid w:val="00CB3AF5"/>
    <w:rsid w:val="00CB5E75"/>
    <w:rsid w:val="00CB6B4B"/>
    <w:rsid w:val="00CB7692"/>
    <w:rsid w:val="00CC1916"/>
    <w:rsid w:val="00CC26ED"/>
    <w:rsid w:val="00CC4911"/>
    <w:rsid w:val="00CC6C4C"/>
    <w:rsid w:val="00CD3809"/>
    <w:rsid w:val="00CD44B4"/>
    <w:rsid w:val="00CD7998"/>
    <w:rsid w:val="00CE337A"/>
    <w:rsid w:val="00CE3E73"/>
    <w:rsid w:val="00CE5AD2"/>
    <w:rsid w:val="00CE773F"/>
    <w:rsid w:val="00CF05DA"/>
    <w:rsid w:val="00CF0902"/>
    <w:rsid w:val="00CF1E36"/>
    <w:rsid w:val="00CF35C3"/>
    <w:rsid w:val="00CF4B89"/>
    <w:rsid w:val="00CF6C1F"/>
    <w:rsid w:val="00D0094F"/>
    <w:rsid w:val="00D052AB"/>
    <w:rsid w:val="00D05679"/>
    <w:rsid w:val="00D06E71"/>
    <w:rsid w:val="00D10381"/>
    <w:rsid w:val="00D1219A"/>
    <w:rsid w:val="00D138B9"/>
    <w:rsid w:val="00D13FF0"/>
    <w:rsid w:val="00D14118"/>
    <w:rsid w:val="00D17408"/>
    <w:rsid w:val="00D26E67"/>
    <w:rsid w:val="00D3056A"/>
    <w:rsid w:val="00D30B11"/>
    <w:rsid w:val="00D31CB0"/>
    <w:rsid w:val="00D322C2"/>
    <w:rsid w:val="00D33839"/>
    <w:rsid w:val="00D33E03"/>
    <w:rsid w:val="00D35FB2"/>
    <w:rsid w:val="00D36F67"/>
    <w:rsid w:val="00D37654"/>
    <w:rsid w:val="00D37793"/>
    <w:rsid w:val="00D42817"/>
    <w:rsid w:val="00D42CCC"/>
    <w:rsid w:val="00D4381A"/>
    <w:rsid w:val="00D44928"/>
    <w:rsid w:val="00D45883"/>
    <w:rsid w:val="00D46D89"/>
    <w:rsid w:val="00D47A14"/>
    <w:rsid w:val="00D5268E"/>
    <w:rsid w:val="00D53837"/>
    <w:rsid w:val="00D552F6"/>
    <w:rsid w:val="00D55D86"/>
    <w:rsid w:val="00D6015B"/>
    <w:rsid w:val="00D605C1"/>
    <w:rsid w:val="00D63050"/>
    <w:rsid w:val="00D66064"/>
    <w:rsid w:val="00D706F2"/>
    <w:rsid w:val="00D71689"/>
    <w:rsid w:val="00D740DF"/>
    <w:rsid w:val="00D748E7"/>
    <w:rsid w:val="00D7523F"/>
    <w:rsid w:val="00D761DE"/>
    <w:rsid w:val="00D82B36"/>
    <w:rsid w:val="00D840EA"/>
    <w:rsid w:val="00D861AB"/>
    <w:rsid w:val="00D872FD"/>
    <w:rsid w:val="00D87559"/>
    <w:rsid w:val="00D9011B"/>
    <w:rsid w:val="00D92A45"/>
    <w:rsid w:val="00D92A9D"/>
    <w:rsid w:val="00D94BBB"/>
    <w:rsid w:val="00D97466"/>
    <w:rsid w:val="00DA4E9A"/>
    <w:rsid w:val="00DA5A9B"/>
    <w:rsid w:val="00DB185B"/>
    <w:rsid w:val="00DB1CA0"/>
    <w:rsid w:val="00DB3143"/>
    <w:rsid w:val="00DB3FDD"/>
    <w:rsid w:val="00DB6D9B"/>
    <w:rsid w:val="00DC08CE"/>
    <w:rsid w:val="00DC69B7"/>
    <w:rsid w:val="00DC6FD1"/>
    <w:rsid w:val="00DD3166"/>
    <w:rsid w:val="00DD65F3"/>
    <w:rsid w:val="00DD6744"/>
    <w:rsid w:val="00DE18C4"/>
    <w:rsid w:val="00DE430B"/>
    <w:rsid w:val="00DE525D"/>
    <w:rsid w:val="00DF142D"/>
    <w:rsid w:val="00DF5FC6"/>
    <w:rsid w:val="00E00884"/>
    <w:rsid w:val="00E00DD8"/>
    <w:rsid w:val="00E03148"/>
    <w:rsid w:val="00E0395B"/>
    <w:rsid w:val="00E04520"/>
    <w:rsid w:val="00E07869"/>
    <w:rsid w:val="00E10E33"/>
    <w:rsid w:val="00E1120E"/>
    <w:rsid w:val="00E126FC"/>
    <w:rsid w:val="00E12831"/>
    <w:rsid w:val="00E12E26"/>
    <w:rsid w:val="00E218F0"/>
    <w:rsid w:val="00E234AD"/>
    <w:rsid w:val="00E257B1"/>
    <w:rsid w:val="00E27F81"/>
    <w:rsid w:val="00E32976"/>
    <w:rsid w:val="00E356C6"/>
    <w:rsid w:val="00E362B9"/>
    <w:rsid w:val="00E4165C"/>
    <w:rsid w:val="00E417DD"/>
    <w:rsid w:val="00E42057"/>
    <w:rsid w:val="00E43058"/>
    <w:rsid w:val="00E43585"/>
    <w:rsid w:val="00E444E7"/>
    <w:rsid w:val="00E46B05"/>
    <w:rsid w:val="00E52491"/>
    <w:rsid w:val="00E574A4"/>
    <w:rsid w:val="00E57647"/>
    <w:rsid w:val="00E60112"/>
    <w:rsid w:val="00E6063F"/>
    <w:rsid w:val="00E607C9"/>
    <w:rsid w:val="00E646F4"/>
    <w:rsid w:val="00E66263"/>
    <w:rsid w:val="00E66880"/>
    <w:rsid w:val="00E70442"/>
    <w:rsid w:val="00E70CAC"/>
    <w:rsid w:val="00E72446"/>
    <w:rsid w:val="00E731D4"/>
    <w:rsid w:val="00E74153"/>
    <w:rsid w:val="00E774B8"/>
    <w:rsid w:val="00E77790"/>
    <w:rsid w:val="00E80CB2"/>
    <w:rsid w:val="00E831E9"/>
    <w:rsid w:val="00E84E01"/>
    <w:rsid w:val="00E866A4"/>
    <w:rsid w:val="00E87192"/>
    <w:rsid w:val="00E90178"/>
    <w:rsid w:val="00E9571F"/>
    <w:rsid w:val="00EA5194"/>
    <w:rsid w:val="00EB21EB"/>
    <w:rsid w:val="00EB3AF4"/>
    <w:rsid w:val="00EB496C"/>
    <w:rsid w:val="00EB659F"/>
    <w:rsid w:val="00EB7343"/>
    <w:rsid w:val="00EC11CE"/>
    <w:rsid w:val="00EC6604"/>
    <w:rsid w:val="00EC6A83"/>
    <w:rsid w:val="00EC6CAA"/>
    <w:rsid w:val="00ED5CCB"/>
    <w:rsid w:val="00EE095C"/>
    <w:rsid w:val="00EE2C53"/>
    <w:rsid w:val="00EE6379"/>
    <w:rsid w:val="00EF1EAC"/>
    <w:rsid w:val="00EF72D0"/>
    <w:rsid w:val="00F00A28"/>
    <w:rsid w:val="00F0127A"/>
    <w:rsid w:val="00F04D01"/>
    <w:rsid w:val="00F111C7"/>
    <w:rsid w:val="00F12DDC"/>
    <w:rsid w:val="00F140B8"/>
    <w:rsid w:val="00F146B5"/>
    <w:rsid w:val="00F157E8"/>
    <w:rsid w:val="00F1661A"/>
    <w:rsid w:val="00F17307"/>
    <w:rsid w:val="00F2120A"/>
    <w:rsid w:val="00F21A09"/>
    <w:rsid w:val="00F21C52"/>
    <w:rsid w:val="00F24F63"/>
    <w:rsid w:val="00F2505B"/>
    <w:rsid w:val="00F26572"/>
    <w:rsid w:val="00F3080D"/>
    <w:rsid w:val="00F31868"/>
    <w:rsid w:val="00F31CCA"/>
    <w:rsid w:val="00F3257E"/>
    <w:rsid w:val="00F32CB5"/>
    <w:rsid w:val="00F34AC4"/>
    <w:rsid w:val="00F36010"/>
    <w:rsid w:val="00F363B6"/>
    <w:rsid w:val="00F37E19"/>
    <w:rsid w:val="00F40FD5"/>
    <w:rsid w:val="00F42107"/>
    <w:rsid w:val="00F43997"/>
    <w:rsid w:val="00F54411"/>
    <w:rsid w:val="00F55B3F"/>
    <w:rsid w:val="00F61FD4"/>
    <w:rsid w:val="00F6248D"/>
    <w:rsid w:val="00F636D4"/>
    <w:rsid w:val="00F64020"/>
    <w:rsid w:val="00F65575"/>
    <w:rsid w:val="00F66297"/>
    <w:rsid w:val="00F679D8"/>
    <w:rsid w:val="00F67BD3"/>
    <w:rsid w:val="00F708A9"/>
    <w:rsid w:val="00F70C9E"/>
    <w:rsid w:val="00F7175A"/>
    <w:rsid w:val="00F71C5F"/>
    <w:rsid w:val="00F7377A"/>
    <w:rsid w:val="00F76FA0"/>
    <w:rsid w:val="00F800CF"/>
    <w:rsid w:val="00F81B01"/>
    <w:rsid w:val="00F827E1"/>
    <w:rsid w:val="00F82E9D"/>
    <w:rsid w:val="00F83A43"/>
    <w:rsid w:val="00F92C33"/>
    <w:rsid w:val="00FA3A26"/>
    <w:rsid w:val="00FA4999"/>
    <w:rsid w:val="00FA4A2F"/>
    <w:rsid w:val="00FB26AB"/>
    <w:rsid w:val="00FB3E4A"/>
    <w:rsid w:val="00FC0011"/>
    <w:rsid w:val="00FC0897"/>
    <w:rsid w:val="00FC09A5"/>
    <w:rsid w:val="00FC3C82"/>
    <w:rsid w:val="00FD1321"/>
    <w:rsid w:val="00FD5930"/>
    <w:rsid w:val="00FD5F21"/>
    <w:rsid w:val="00FE04ED"/>
    <w:rsid w:val="00FE35A3"/>
    <w:rsid w:val="00FE5F89"/>
    <w:rsid w:val="00FE64C3"/>
    <w:rsid w:val="00FE6B01"/>
    <w:rsid w:val="00FE7851"/>
    <w:rsid w:val="00FF4B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DD95"/>
  <w15:chartTrackingRefBased/>
  <w15:docId w15:val="{B1C0D8E9-383A-459A-BBB4-C4098CBDF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E9D"/>
  </w:style>
  <w:style w:type="paragraph" w:styleId="Heading1">
    <w:name w:val="heading 1"/>
    <w:basedOn w:val="Normal"/>
    <w:next w:val="Normal"/>
    <w:link w:val="Heading1Char"/>
    <w:uiPriority w:val="9"/>
    <w:qFormat/>
    <w:rsid w:val="00482445"/>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9B3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3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3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84D"/>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9B3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3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3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84D"/>
    <w:rPr>
      <w:rFonts w:eastAsiaTheme="majorEastAsia" w:cstheme="majorBidi"/>
      <w:color w:val="272727" w:themeColor="text1" w:themeTint="D8"/>
    </w:rPr>
  </w:style>
  <w:style w:type="paragraph" w:styleId="Title">
    <w:name w:val="Title"/>
    <w:basedOn w:val="Normal"/>
    <w:next w:val="Normal"/>
    <w:link w:val="TitleChar"/>
    <w:uiPriority w:val="10"/>
    <w:qFormat/>
    <w:rsid w:val="009B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84D"/>
    <w:pPr>
      <w:spacing w:before="160"/>
      <w:jc w:val="center"/>
    </w:pPr>
    <w:rPr>
      <w:i/>
      <w:iCs/>
      <w:color w:val="404040" w:themeColor="text1" w:themeTint="BF"/>
    </w:rPr>
  </w:style>
  <w:style w:type="character" w:customStyle="1" w:styleId="QuoteChar">
    <w:name w:val="Quote Char"/>
    <w:basedOn w:val="DefaultParagraphFont"/>
    <w:link w:val="Quote"/>
    <w:uiPriority w:val="29"/>
    <w:rsid w:val="009B384D"/>
    <w:rPr>
      <w:i/>
      <w:iCs/>
      <w:color w:val="404040" w:themeColor="text1" w:themeTint="BF"/>
    </w:rPr>
  </w:style>
  <w:style w:type="paragraph" w:styleId="ListParagraph">
    <w:name w:val="List Paragraph"/>
    <w:basedOn w:val="Normal"/>
    <w:uiPriority w:val="34"/>
    <w:qFormat/>
    <w:rsid w:val="009B384D"/>
    <w:pPr>
      <w:ind w:left="720"/>
      <w:contextualSpacing/>
    </w:pPr>
  </w:style>
  <w:style w:type="character" w:styleId="IntenseEmphasis">
    <w:name w:val="Intense Emphasis"/>
    <w:basedOn w:val="DefaultParagraphFont"/>
    <w:uiPriority w:val="21"/>
    <w:qFormat/>
    <w:rsid w:val="009B384D"/>
    <w:rPr>
      <w:i/>
      <w:iCs/>
      <w:color w:val="0F4761" w:themeColor="accent1" w:themeShade="BF"/>
    </w:rPr>
  </w:style>
  <w:style w:type="paragraph" w:styleId="IntenseQuote">
    <w:name w:val="Intense Quote"/>
    <w:basedOn w:val="Normal"/>
    <w:next w:val="Normal"/>
    <w:link w:val="IntenseQuoteChar"/>
    <w:uiPriority w:val="30"/>
    <w:qFormat/>
    <w:rsid w:val="009B3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84D"/>
    <w:rPr>
      <w:i/>
      <w:iCs/>
      <w:color w:val="0F4761" w:themeColor="accent1" w:themeShade="BF"/>
    </w:rPr>
  </w:style>
  <w:style w:type="character" w:styleId="IntenseReference">
    <w:name w:val="Intense Reference"/>
    <w:basedOn w:val="DefaultParagraphFont"/>
    <w:uiPriority w:val="32"/>
    <w:qFormat/>
    <w:rsid w:val="009B384D"/>
    <w:rPr>
      <w:b/>
      <w:bCs/>
      <w:smallCaps/>
      <w:color w:val="0F4761" w:themeColor="accent1" w:themeShade="BF"/>
      <w:spacing w:val="5"/>
    </w:rPr>
  </w:style>
  <w:style w:type="character" w:styleId="CommentReference">
    <w:name w:val="annotation reference"/>
    <w:basedOn w:val="DefaultParagraphFont"/>
    <w:uiPriority w:val="99"/>
    <w:semiHidden/>
    <w:unhideWhenUsed/>
    <w:rsid w:val="00AD2FCC"/>
    <w:rPr>
      <w:sz w:val="16"/>
      <w:szCs w:val="16"/>
    </w:rPr>
  </w:style>
  <w:style w:type="paragraph" w:styleId="CommentText">
    <w:name w:val="annotation text"/>
    <w:basedOn w:val="Normal"/>
    <w:link w:val="CommentTextChar"/>
    <w:uiPriority w:val="99"/>
    <w:unhideWhenUsed/>
    <w:rsid w:val="00AD2FCC"/>
    <w:pPr>
      <w:spacing w:line="240" w:lineRule="auto"/>
    </w:pPr>
    <w:rPr>
      <w:sz w:val="20"/>
      <w:szCs w:val="20"/>
    </w:rPr>
  </w:style>
  <w:style w:type="character" w:customStyle="1" w:styleId="CommentTextChar">
    <w:name w:val="Comment Text Char"/>
    <w:basedOn w:val="DefaultParagraphFont"/>
    <w:link w:val="CommentText"/>
    <w:uiPriority w:val="99"/>
    <w:rsid w:val="00AD2FCC"/>
    <w:rPr>
      <w:sz w:val="20"/>
      <w:szCs w:val="20"/>
    </w:rPr>
  </w:style>
  <w:style w:type="paragraph" w:styleId="CommentSubject">
    <w:name w:val="annotation subject"/>
    <w:basedOn w:val="CommentText"/>
    <w:next w:val="CommentText"/>
    <w:link w:val="CommentSubjectChar"/>
    <w:uiPriority w:val="99"/>
    <w:semiHidden/>
    <w:unhideWhenUsed/>
    <w:rsid w:val="00AD2FCC"/>
    <w:rPr>
      <w:b/>
      <w:bCs/>
    </w:rPr>
  </w:style>
  <w:style w:type="character" w:customStyle="1" w:styleId="CommentSubjectChar">
    <w:name w:val="Comment Subject Char"/>
    <w:basedOn w:val="CommentTextChar"/>
    <w:link w:val="CommentSubject"/>
    <w:uiPriority w:val="99"/>
    <w:semiHidden/>
    <w:rsid w:val="00AD2FCC"/>
    <w:rPr>
      <w:b/>
      <w:bCs/>
      <w:sz w:val="20"/>
      <w:szCs w:val="20"/>
    </w:rPr>
  </w:style>
  <w:style w:type="paragraph" w:styleId="NormalWeb">
    <w:name w:val="Normal (Web)"/>
    <w:basedOn w:val="Normal"/>
    <w:uiPriority w:val="99"/>
    <w:semiHidden/>
    <w:unhideWhenUsed/>
    <w:rsid w:val="00AD7B9B"/>
    <w:rPr>
      <w:rFonts w:ascii="Times New Roman" w:hAnsi="Times New Roman" w:cs="Times New Roman"/>
    </w:rPr>
  </w:style>
  <w:style w:type="paragraph" w:styleId="FootnoteText">
    <w:name w:val="footnote text"/>
    <w:basedOn w:val="Normal"/>
    <w:link w:val="FootnoteTextChar"/>
    <w:uiPriority w:val="99"/>
    <w:semiHidden/>
    <w:unhideWhenUsed/>
    <w:rsid w:val="00D748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8E7"/>
    <w:rPr>
      <w:sz w:val="20"/>
      <w:szCs w:val="20"/>
    </w:rPr>
  </w:style>
  <w:style w:type="character" w:styleId="FootnoteReference">
    <w:name w:val="footnote reference"/>
    <w:basedOn w:val="DefaultParagraphFont"/>
    <w:uiPriority w:val="99"/>
    <w:semiHidden/>
    <w:unhideWhenUsed/>
    <w:rsid w:val="00D748E7"/>
    <w:rPr>
      <w:vertAlign w:val="superscript"/>
    </w:rPr>
  </w:style>
  <w:style w:type="paragraph" w:styleId="Header">
    <w:name w:val="header"/>
    <w:basedOn w:val="Normal"/>
    <w:link w:val="HeaderChar"/>
    <w:uiPriority w:val="99"/>
    <w:unhideWhenUsed/>
    <w:rsid w:val="00B13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544"/>
  </w:style>
  <w:style w:type="paragraph" w:styleId="Footer">
    <w:name w:val="footer"/>
    <w:basedOn w:val="Normal"/>
    <w:link w:val="FooterChar"/>
    <w:uiPriority w:val="99"/>
    <w:unhideWhenUsed/>
    <w:rsid w:val="00B13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544"/>
  </w:style>
  <w:style w:type="character" w:styleId="Hyperlink">
    <w:name w:val="Hyperlink"/>
    <w:basedOn w:val="DefaultParagraphFont"/>
    <w:uiPriority w:val="99"/>
    <w:unhideWhenUsed/>
    <w:rsid w:val="00B13544"/>
    <w:rPr>
      <w:color w:val="467886" w:themeColor="hyperlink"/>
      <w:u w:val="single"/>
    </w:rPr>
  </w:style>
  <w:style w:type="character" w:styleId="UnresolvedMention">
    <w:name w:val="Unresolved Mention"/>
    <w:basedOn w:val="DefaultParagraphFont"/>
    <w:uiPriority w:val="99"/>
    <w:semiHidden/>
    <w:unhideWhenUsed/>
    <w:rsid w:val="00B13544"/>
    <w:rPr>
      <w:color w:val="605E5C"/>
      <w:shd w:val="clear" w:color="auto" w:fill="E1DFDD"/>
    </w:rPr>
  </w:style>
  <w:style w:type="character" w:styleId="FollowedHyperlink">
    <w:name w:val="FollowedHyperlink"/>
    <w:basedOn w:val="DefaultParagraphFont"/>
    <w:uiPriority w:val="99"/>
    <w:semiHidden/>
    <w:unhideWhenUsed/>
    <w:rsid w:val="007241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3549">
      <w:bodyDiv w:val="1"/>
      <w:marLeft w:val="0"/>
      <w:marRight w:val="0"/>
      <w:marTop w:val="0"/>
      <w:marBottom w:val="0"/>
      <w:divBdr>
        <w:top w:val="none" w:sz="0" w:space="0" w:color="auto"/>
        <w:left w:val="none" w:sz="0" w:space="0" w:color="auto"/>
        <w:bottom w:val="none" w:sz="0" w:space="0" w:color="auto"/>
        <w:right w:val="none" w:sz="0" w:space="0" w:color="auto"/>
      </w:divBdr>
      <w:divsChild>
        <w:div w:id="1867018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93160">
      <w:bodyDiv w:val="1"/>
      <w:marLeft w:val="0"/>
      <w:marRight w:val="0"/>
      <w:marTop w:val="0"/>
      <w:marBottom w:val="0"/>
      <w:divBdr>
        <w:top w:val="none" w:sz="0" w:space="0" w:color="auto"/>
        <w:left w:val="none" w:sz="0" w:space="0" w:color="auto"/>
        <w:bottom w:val="none" w:sz="0" w:space="0" w:color="auto"/>
        <w:right w:val="none" w:sz="0" w:space="0" w:color="auto"/>
      </w:divBdr>
    </w:div>
    <w:div w:id="195391384">
      <w:bodyDiv w:val="1"/>
      <w:marLeft w:val="0"/>
      <w:marRight w:val="0"/>
      <w:marTop w:val="0"/>
      <w:marBottom w:val="0"/>
      <w:divBdr>
        <w:top w:val="none" w:sz="0" w:space="0" w:color="auto"/>
        <w:left w:val="none" w:sz="0" w:space="0" w:color="auto"/>
        <w:bottom w:val="none" w:sz="0" w:space="0" w:color="auto"/>
        <w:right w:val="none" w:sz="0" w:space="0" w:color="auto"/>
      </w:divBdr>
      <w:divsChild>
        <w:div w:id="125123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441729">
      <w:bodyDiv w:val="1"/>
      <w:marLeft w:val="0"/>
      <w:marRight w:val="0"/>
      <w:marTop w:val="0"/>
      <w:marBottom w:val="0"/>
      <w:divBdr>
        <w:top w:val="none" w:sz="0" w:space="0" w:color="auto"/>
        <w:left w:val="none" w:sz="0" w:space="0" w:color="auto"/>
        <w:bottom w:val="none" w:sz="0" w:space="0" w:color="auto"/>
        <w:right w:val="none" w:sz="0" w:space="0" w:color="auto"/>
      </w:divBdr>
      <w:divsChild>
        <w:div w:id="666203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421085">
      <w:bodyDiv w:val="1"/>
      <w:marLeft w:val="0"/>
      <w:marRight w:val="0"/>
      <w:marTop w:val="0"/>
      <w:marBottom w:val="0"/>
      <w:divBdr>
        <w:top w:val="none" w:sz="0" w:space="0" w:color="auto"/>
        <w:left w:val="none" w:sz="0" w:space="0" w:color="auto"/>
        <w:bottom w:val="none" w:sz="0" w:space="0" w:color="auto"/>
        <w:right w:val="none" w:sz="0" w:space="0" w:color="auto"/>
      </w:divBdr>
    </w:div>
    <w:div w:id="500850393">
      <w:bodyDiv w:val="1"/>
      <w:marLeft w:val="0"/>
      <w:marRight w:val="0"/>
      <w:marTop w:val="0"/>
      <w:marBottom w:val="0"/>
      <w:divBdr>
        <w:top w:val="none" w:sz="0" w:space="0" w:color="auto"/>
        <w:left w:val="none" w:sz="0" w:space="0" w:color="auto"/>
        <w:bottom w:val="none" w:sz="0" w:space="0" w:color="auto"/>
        <w:right w:val="none" w:sz="0" w:space="0" w:color="auto"/>
      </w:divBdr>
      <w:divsChild>
        <w:div w:id="317073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795046">
      <w:bodyDiv w:val="1"/>
      <w:marLeft w:val="0"/>
      <w:marRight w:val="0"/>
      <w:marTop w:val="0"/>
      <w:marBottom w:val="0"/>
      <w:divBdr>
        <w:top w:val="none" w:sz="0" w:space="0" w:color="auto"/>
        <w:left w:val="none" w:sz="0" w:space="0" w:color="auto"/>
        <w:bottom w:val="none" w:sz="0" w:space="0" w:color="auto"/>
        <w:right w:val="none" w:sz="0" w:space="0" w:color="auto"/>
      </w:divBdr>
    </w:div>
    <w:div w:id="609699360">
      <w:bodyDiv w:val="1"/>
      <w:marLeft w:val="0"/>
      <w:marRight w:val="0"/>
      <w:marTop w:val="0"/>
      <w:marBottom w:val="0"/>
      <w:divBdr>
        <w:top w:val="none" w:sz="0" w:space="0" w:color="auto"/>
        <w:left w:val="none" w:sz="0" w:space="0" w:color="auto"/>
        <w:bottom w:val="none" w:sz="0" w:space="0" w:color="auto"/>
        <w:right w:val="none" w:sz="0" w:space="0" w:color="auto"/>
      </w:divBdr>
      <w:divsChild>
        <w:div w:id="29106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737027">
      <w:bodyDiv w:val="1"/>
      <w:marLeft w:val="0"/>
      <w:marRight w:val="0"/>
      <w:marTop w:val="0"/>
      <w:marBottom w:val="0"/>
      <w:divBdr>
        <w:top w:val="none" w:sz="0" w:space="0" w:color="auto"/>
        <w:left w:val="none" w:sz="0" w:space="0" w:color="auto"/>
        <w:bottom w:val="none" w:sz="0" w:space="0" w:color="auto"/>
        <w:right w:val="none" w:sz="0" w:space="0" w:color="auto"/>
      </w:divBdr>
      <w:divsChild>
        <w:div w:id="183725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28420">
      <w:bodyDiv w:val="1"/>
      <w:marLeft w:val="0"/>
      <w:marRight w:val="0"/>
      <w:marTop w:val="0"/>
      <w:marBottom w:val="0"/>
      <w:divBdr>
        <w:top w:val="none" w:sz="0" w:space="0" w:color="auto"/>
        <w:left w:val="none" w:sz="0" w:space="0" w:color="auto"/>
        <w:bottom w:val="none" w:sz="0" w:space="0" w:color="auto"/>
        <w:right w:val="none" w:sz="0" w:space="0" w:color="auto"/>
      </w:divBdr>
      <w:divsChild>
        <w:div w:id="40712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859610">
      <w:bodyDiv w:val="1"/>
      <w:marLeft w:val="0"/>
      <w:marRight w:val="0"/>
      <w:marTop w:val="0"/>
      <w:marBottom w:val="0"/>
      <w:divBdr>
        <w:top w:val="none" w:sz="0" w:space="0" w:color="auto"/>
        <w:left w:val="none" w:sz="0" w:space="0" w:color="auto"/>
        <w:bottom w:val="none" w:sz="0" w:space="0" w:color="auto"/>
        <w:right w:val="none" w:sz="0" w:space="0" w:color="auto"/>
      </w:divBdr>
      <w:divsChild>
        <w:div w:id="1771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780246">
      <w:bodyDiv w:val="1"/>
      <w:marLeft w:val="0"/>
      <w:marRight w:val="0"/>
      <w:marTop w:val="0"/>
      <w:marBottom w:val="0"/>
      <w:divBdr>
        <w:top w:val="none" w:sz="0" w:space="0" w:color="auto"/>
        <w:left w:val="none" w:sz="0" w:space="0" w:color="auto"/>
        <w:bottom w:val="none" w:sz="0" w:space="0" w:color="auto"/>
        <w:right w:val="none" w:sz="0" w:space="0" w:color="auto"/>
      </w:divBdr>
      <w:divsChild>
        <w:div w:id="1846286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512725">
      <w:bodyDiv w:val="1"/>
      <w:marLeft w:val="0"/>
      <w:marRight w:val="0"/>
      <w:marTop w:val="0"/>
      <w:marBottom w:val="0"/>
      <w:divBdr>
        <w:top w:val="none" w:sz="0" w:space="0" w:color="auto"/>
        <w:left w:val="none" w:sz="0" w:space="0" w:color="auto"/>
        <w:bottom w:val="none" w:sz="0" w:space="0" w:color="auto"/>
        <w:right w:val="none" w:sz="0" w:space="0" w:color="auto"/>
      </w:divBdr>
    </w:div>
    <w:div w:id="1471485500">
      <w:bodyDiv w:val="1"/>
      <w:marLeft w:val="0"/>
      <w:marRight w:val="0"/>
      <w:marTop w:val="0"/>
      <w:marBottom w:val="0"/>
      <w:divBdr>
        <w:top w:val="none" w:sz="0" w:space="0" w:color="auto"/>
        <w:left w:val="none" w:sz="0" w:space="0" w:color="auto"/>
        <w:bottom w:val="none" w:sz="0" w:space="0" w:color="auto"/>
        <w:right w:val="none" w:sz="0" w:space="0" w:color="auto"/>
      </w:divBdr>
      <w:divsChild>
        <w:div w:id="206839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052408">
      <w:bodyDiv w:val="1"/>
      <w:marLeft w:val="0"/>
      <w:marRight w:val="0"/>
      <w:marTop w:val="0"/>
      <w:marBottom w:val="0"/>
      <w:divBdr>
        <w:top w:val="none" w:sz="0" w:space="0" w:color="auto"/>
        <w:left w:val="none" w:sz="0" w:space="0" w:color="auto"/>
        <w:bottom w:val="none" w:sz="0" w:space="0" w:color="auto"/>
        <w:right w:val="none" w:sz="0" w:space="0" w:color="auto"/>
      </w:divBdr>
      <w:divsChild>
        <w:div w:id="324476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422665">
      <w:bodyDiv w:val="1"/>
      <w:marLeft w:val="0"/>
      <w:marRight w:val="0"/>
      <w:marTop w:val="0"/>
      <w:marBottom w:val="0"/>
      <w:divBdr>
        <w:top w:val="none" w:sz="0" w:space="0" w:color="auto"/>
        <w:left w:val="none" w:sz="0" w:space="0" w:color="auto"/>
        <w:bottom w:val="none" w:sz="0" w:space="0" w:color="auto"/>
        <w:right w:val="none" w:sz="0" w:space="0" w:color="auto"/>
      </w:divBdr>
    </w:div>
    <w:div w:id="1647584299">
      <w:bodyDiv w:val="1"/>
      <w:marLeft w:val="0"/>
      <w:marRight w:val="0"/>
      <w:marTop w:val="0"/>
      <w:marBottom w:val="0"/>
      <w:divBdr>
        <w:top w:val="none" w:sz="0" w:space="0" w:color="auto"/>
        <w:left w:val="none" w:sz="0" w:space="0" w:color="auto"/>
        <w:bottom w:val="none" w:sz="0" w:space="0" w:color="auto"/>
        <w:right w:val="none" w:sz="0" w:space="0" w:color="auto"/>
      </w:divBdr>
      <w:divsChild>
        <w:div w:id="830176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839126">
      <w:bodyDiv w:val="1"/>
      <w:marLeft w:val="0"/>
      <w:marRight w:val="0"/>
      <w:marTop w:val="0"/>
      <w:marBottom w:val="0"/>
      <w:divBdr>
        <w:top w:val="none" w:sz="0" w:space="0" w:color="auto"/>
        <w:left w:val="none" w:sz="0" w:space="0" w:color="auto"/>
        <w:bottom w:val="none" w:sz="0" w:space="0" w:color="auto"/>
        <w:right w:val="none" w:sz="0" w:space="0" w:color="auto"/>
      </w:divBdr>
    </w:div>
    <w:div w:id="2102098877">
      <w:bodyDiv w:val="1"/>
      <w:marLeft w:val="0"/>
      <w:marRight w:val="0"/>
      <w:marTop w:val="0"/>
      <w:marBottom w:val="0"/>
      <w:divBdr>
        <w:top w:val="none" w:sz="0" w:space="0" w:color="auto"/>
        <w:left w:val="none" w:sz="0" w:space="0" w:color="auto"/>
        <w:bottom w:val="none" w:sz="0" w:space="0" w:color="auto"/>
        <w:right w:val="none" w:sz="0" w:space="0" w:color="auto"/>
      </w:divBdr>
    </w:div>
    <w:div w:id="210464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970</TotalTime>
  <Pages>21</Pages>
  <Words>7205</Words>
  <Characters>41070</Characters>
  <Application>Microsoft Office Word</Application>
  <DocSecurity>0</DocSecurity>
  <Lines>342</Lines>
  <Paragraphs>96</Paragraphs>
  <ScaleCrop>false</ScaleCrop>
  <Company/>
  <LinksUpToDate>false</LinksUpToDate>
  <CharactersWithSpaces>48179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Burney</dc:creator>
  <cp:keywords/>
  <dc:description/>
  <cp:lastModifiedBy>Daniyal Burney</cp:lastModifiedBy>
  <cp:revision>805</cp:revision>
  <dcterms:created xsi:type="dcterms:W3CDTF">2025-08-05T10:21:00Z</dcterms:created>
  <dcterms:modified xsi:type="dcterms:W3CDTF">2026-08-18T18:46:00Z</dcterms:modified>
</cp:coreProperties>
</file>