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989B" w14:textId="6AE779D7" w:rsidR="001A2239" w:rsidRPr="004E53E0" w:rsidRDefault="00962473" w:rsidP="004E53E0">
      <w:pPr>
        <w:pStyle w:val="TNRHeading1"/>
      </w:pPr>
      <w:r w:rsidRPr="004E53E0">
        <w:t>Period 1: Foundation</w:t>
      </w:r>
    </w:p>
    <w:p w14:paraId="5CEF7590" w14:textId="77777777" w:rsidR="00D96672" w:rsidRDefault="00D96672" w:rsidP="009C0656">
      <w:pPr>
        <w:spacing w:line="360" w:lineRule="auto"/>
        <w:jc w:val="both"/>
        <w:sectPr w:rsidR="00D96672" w:rsidSect="00D96672">
          <w:footerReference w:type="default" r:id="rId7"/>
          <w:pgSz w:w="11906" w:h="16838" w:code="9"/>
          <w:pgMar w:top="1440" w:right="1440" w:bottom="1440" w:left="1440" w:header="709" w:footer="709" w:gutter="0"/>
          <w:cols w:space="708"/>
          <w:vAlign w:val="center"/>
          <w:docGrid w:linePitch="360"/>
        </w:sectPr>
      </w:pPr>
    </w:p>
    <w:p w14:paraId="225B4009" w14:textId="5E09B075" w:rsidR="00900B6B" w:rsidRPr="009C0656" w:rsidRDefault="00962473" w:rsidP="009C0656">
      <w:pPr>
        <w:pStyle w:val="TNRHeading2"/>
        <w:spacing w:line="360" w:lineRule="auto"/>
        <w:jc w:val="both"/>
        <w:rPr>
          <w:color w:val="auto"/>
        </w:rPr>
      </w:pPr>
      <w:r w:rsidRPr="009C0656">
        <w:rPr>
          <w:color w:val="auto"/>
        </w:rPr>
        <w:lastRenderedPageBreak/>
        <w:t>Introduction</w:t>
      </w:r>
    </w:p>
    <w:p w14:paraId="14774AA0" w14:textId="12F02283" w:rsidR="004927C6" w:rsidRPr="009C0656" w:rsidRDefault="00F87430" w:rsidP="009C0656">
      <w:pPr>
        <w:spacing w:line="360" w:lineRule="auto"/>
        <w:jc w:val="both"/>
      </w:pPr>
      <w:r w:rsidRPr="009C0656">
        <w:t xml:space="preserve">The Nation of Islam begins </w:t>
      </w:r>
      <w:r w:rsidR="00720939" w:rsidRPr="009C0656">
        <w:t>organisationally in 1930</w:t>
      </w:r>
      <w:r w:rsidR="005E1E3B" w:rsidRPr="009C0656">
        <w:t xml:space="preserve">. </w:t>
      </w:r>
      <w:r w:rsidR="00B15565" w:rsidRPr="009C0656">
        <w:t>This</w:t>
      </w:r>
      <w:r w:rsidR="00F84A06" w:rsidRPr="009C0656">
        <w:t xml:space="preserve"> analysis </w:t>
      </w:r>
      <w:r w:rsidR="00C63532" w:rsidRPr="009C0656">
        <w:t xml:space="preserve">periodises </w:t>
      </w:r>
      <w:r w:rsidR="00D75203" w:rsidRPr="009C0656">
        <w:t>the movement</w:t>
      </w:r>
      <w:r w:rsidR="006C1B80" w:rsidRPr="009C0656">
        <w:t>’</w:t>
      </w:r>
      <w:r w:rsidR="00D75203" w:rsidRPr="009C0656">
        <w:t xml:space="preserve">s </w:t>
      </w:r>
      <w:r w:rsidR="009130CA" w:rsidRPr="009C0656">
        <w:t xml:space="preserve">development until 1951, which marks the </w:t>
      </w:r>
      <w:r w:rsidR="00D75203" w:rsidRPr="009C0656">
        <w:t>culmination of the movement</w:t>
      </w:r>
      <w:r w:rsidR="006C1B80" w:rsidRPr="009C0656">
        <w:t>’</w:t>
      </w:r>
      <w:r w:rsidR="00D75203" w:rsidRPr="009C0656">
        <w:t xml:space="preserve">s internal theological development and the establishment of its core institutional infrastructure. </w:t>
      </w:r>
      <w:r w:rsidR="002367D8" w:rsidRPr="009C0656">
        <w:t xml:space="preserve">It </w:t>
      </w:r>
      <w:r w:rsidR="00D75203" w:rsidRPr="009C0656">
        <w:t>separat</w:t>
      </w:r>
      <w:r w:rsidR="008A3B0C" w:rsidRPr="009C0656">
        <w:t xml:space="preserve">es </w:t>
      </w:r>
      <w:r w:rsidR="00D75203" w:rsidRPr="009C0656">
        <w:t>the initial phase of clandestine ideological construction from the subsequent era of mass-media expansion and internal contestation</w:t>
      </w:r>
      <w:r w:rsidR="008A3B0C" w:rsidRPr="009C0656">
        <w:t xml:space="preserve">, while also </w:t>
      </w:r>
      <w:r w:rsidR="00D27477" w:rsidRPr="009C0656">
        <w:t xml:space="preserve">setting the parameters for every </w:t>
      </w:r>
      <w:r w:rsidR="007D6C57" w:rsidRPr="009C0656">
        <w:t xml:space="preserve">frame and </w:t>
      </w:r>
      <w:r w:rsidR="00D27477" w:rsidRPr="009C0656">
        <w:t xml:space="preserve">rhetorical shift that characterised the later decades of the Nation of Islam. </w:t>
      </w:r>
      <w:r w:rsidR="00232913" w:rsidRPr="009C0656">
        <w:t xml:space="preserve">Between 1930 and 1951, </w:t>
      </w:r>
      <w:r w:rsidR="004927C6" w:rsidRPr="009C0656">
        <w:t xml:space="preserve">the </w:t>
      </w:r>
      <w:r w:rsidR="0026216D" w:rsidRPr="009C0656">
        <w:t xml:space="preserve">movement systematically assembled </w:t>
      </w:r>
      <w:r w:rsidR="004927C6" w:rsidRPr="009C0656">
        <w:t>an expansive ideological architecture</w:t>
      </w:r>
      <w:r w:rsidR="001A4F70" w:rsidRPr="009C0656">
        <w:t xml:space="preserve"> </w:t>
      </w:r>
      <w:r w:rsidR="0026216D" w:rsidRPr="009C0656">
        <w:t>that</w:t>
      </w:r>
      <w:r w:rsidR="001A4F70" w:rsidRPr="009C0656">
        <w:t xml:space="preserve"> </w:t>
      </w:r>
      <w:r w:rsidR="004927C6" w:rsidRPr="009C0656">
        <w:t>distinct</w:t>
      </w:r>
      <w:r w:rsidR="001A4F70" w:rsidRPr="009C0656">
        <w:t>ly</w:t>
      </w:r>
      <w:r w:rsidR="004927C6" w:rsidRPr="009C0656">
        <w:t xml:space="preserve"> ontolog</w:t>
      </w:r>
      <w:r w:rsidR="001A4F70" w:rsidRPr="009C0656">
        <w:t xml:space="preserve">ises </w:t>
      </w:r>
      <w:r w:rsidR="00D97B99" w:rsidRPr="009C0656">
        <w:t xml:space="preserve">the </w:t>
      </w:r>
      <w:r w:rsidR="00F364F3" w:rsidRPr="009C0656">
        <w:t xml:space="preserve">constructs </w:t>
      </w:r>
      <w:r w:rsidR="00D97B99" w:rsidRPr="009C0656">
        <w:t xml:space="preserve">of </w:t>
      </w:r>
      <w:r w:rsidR="004927C6" w:rsidRPr="009C0656">
        <w:t xml:space="preserve">nation, race, </w:t>
      </w:r>
      <w:r w:rsidR="00F364F3" w:rsidRPr="009C0656">
        <w:t>cultur</w:t>
      </w:r>
      <w:r w:rsidR="00665E63" w:rsidRPr="009C0656">
        <w:t>al tradition</w:t>
      </w:r>
      <w:r w:rsidR="00F364F3" w:rsidRPr="009C0656">
        <w:t xml:space="preserve">, </w:t>
      </w:r>
      <w:r w:rsidR="004927C6" w:rsidRPr="009C0656">
        <w:t>and divine history</w:t>
      </w:r>
      <w:r w:rsidR="00EE322E" w:rsidRPr="009C0656">
        <w:t xml:space="preserve">. </w:t>
      </w:r>
      <w:r w:rsidR="002E19D9" w:rsidRPr="009C0656">
        <w:t>S</w:t>
      </w:r>
      <w:r w:rsidR="004927C6" w:rsidRPr="009C0656">
        <w:t xml:space="preserve">ubsequent periods must necessarily </w:t>
      </w:r>
      <w:r w:rsidR="000B1DE0" w:rsidRPr="009C0656">
        <w:t xml:space="preserve">operate in </w:t>
      </w:r>
      <w:r w:rsidR="004927C6" w:rsidRPr="009C0656">
        <w:t>negotiat</w:t>
      </w:r>
      <w:r w:rsidR="000B1DE0" w:rsidRPr="009C0656">
        <w:t xml:space="preserve">ion </w:t>
      </w:r>
      <w:r w:rsidR="004927C6" w:rsidRPr="009C0656">
        <w:t>with</w:t>
      </w:r>
      <w:r w:rsidR="000B1DE0" w:rsidRPr="009C0656">
        <w:t xml:space="preserve"> this construct</w:t>
      </w:r>
      <w:r w:rsidR="007C6AFC" w:rsidRPr="009C0656">
        <w:t xml:space="preserve"> as the basis</w:t>
      </w:r>
      <w:r w:rsidR="004927C6" w:rsidRPr="009C0656">
        <w:t xml:space="preserve">. </w:t>
      </w:r>
      <w:r w:rsidR="001E11F4" w:rsidRPr="009C0656">
        <w:t xml:space="preserve">Successor regimes either selectively inherit or contest the pre-established interpretive scaffolds. </w:t>
      </w:r>
      <w:r w:rsidR="00863635" w:rsidRPr="009C0656">
        <w:t>T</w:t>
      </w:r>
      <w:r w:rsidR="004927C6" w:rsidRPr="009C0656">
        <w:t xml:space="preserve">he work of Fard Muhammad and Elijah Muhammad during this </w:t>
      </w:r>
      <w:r w:rsidR="00F7607D" w:rsidRPr="009C0656">
        <w:t xml:space="preserve">era </w:t>
      </w:r>
      <w:r w:rsidR="00863635" w:rsidRPr="009C0656">
        <w:t>reveal</w:t>
      </w:r>
      <w:r w:rsidR="00627765" w:rsidRPr="009C0656">
        <w:t>s</w:t>
      </w:r>
      <w:r w:rsidR="00863635" w:rsidRPr="009C0656">
        <w:t xml:space="preserve"> </w:t>
      </w:r>
      <w:r w:rsidR="004927C6" w:rsidRPr="009C0656">
        <w:t>the creation of a discursive framework that defined the</w:t>
      </w:r>
      <w:r w:rsidR="00F7607D" w:rsidRPr="009C0656">
        <w:t xml:space="preserve"> </w:t>
      </w:r>
      <w:r w:rsidR="006C1B80" w:rsidRPr="009C0656">
        <w:t>‘</w:t>
      </w:r>
      <w:r w:rsidR="004927C6" w:rsidRPr="009C0656">
        <w:t>Lost-Found</w:t>
      </w:r>
      <w:r w:rsidR="006C1B80" w:rsidRPr="009C0656">
        <w:t>’</w:t>
      </w:r>
      <w:r w:rsidR="004927C6" w:rsidRPr="009C0656">
        <w:t xml:space="preserve"> status of Black Americans and established the movement</w:t>
      </w:r>
      <w:r w:rsidR="006C1B80" w:rsidRPr="009C0656">
        <w:t>’</w:t>
      </w:r>
      <w:r w:rsidR="004927C6" w:rsidRPr="009C0656">
        <w:t>s internal logic</w:t>
      </w:r>
      <w:r w:rsidR="00AE475E" w:rsidRPr="009C0656">
        <w:t xml:space="preserve"> in what became termed </w:t>
      </w:r>
      <w:r w:rsidR="006C1B80" w:rsidRPr="009C0656">
        <w:t>‘</w:t>
      </w:r>
      <w:r w:rsidR="00986856" w:rsidRPr="009C0656">
        <w:t>t</w:t>
      </w:r>
      <w:r w:rsidR="00AE475E" w:rsidRPr="009C0656">
        <w:t xml:space="preserve">he </w:t>
      </w:r>
      <w:r w:rsidR="00E0095F" w:rsidRPr="009C0656">
        <w:t>w</w:t>
      </w:r>
      <w:r w:rsidR="00AE475E" w:rsidRPr="009C0656">
        <w:t>ilderness of North America</w:t>
      </w:r>
      <w:r w:rsidR="006C1B80" w:rsidRPr="009C0656">
        <w:t>’</w:t>
      </w:r>
      <w:r w:rsidR="00C72626" w:rsidRPr="009C0656">
        <w:t xml:space="preserve"> (</w:t>
      </w:r>
      <w:r w:rsidR="00E0095F" w:rsidRPr="009C0656">
        <w:t>Muhammad, 1973, p. 52</w:t>
      </w:r>
      <w:r w:rsidR="00C72626" w:rsidRPr="009C0656">
        <w:t>).</w:t>
      </w:r>
      <w:r w:rsidR="003800C8" w:rsidRPr="009C0656">
        <w:t xml:space="preserve"> Given the sparsity of the </w:t>
      </w:r>
      <w:r w:rsidR="00926700" w:rsidRPr="009C0656">
        <w:t>period’s surviving record</w:t>
      </w:r>
      <w:r w:rsidR="00146DCD" w:rsidRPr="009C0656">
        <w:t xml:space="preserve">, </w:t>
      </w:r>
      <w:r w:rsidR="0066162D" w:rsidRPr="009C0656">
        <w:t xml:space="preserve">process tracing is used for reconstruction. Each frame identified is an observable trace </w:t>
      </w:r>
      <w:r w:rsidR="00C25021" w:rsidRPr="009C0656">
        <w:t>generated by a ca</w:t>
      </w:r>
      <w:r w:rsidR="007606CE" w:rsidRPr="009C0656">
        <w:t>us</w:t>
      </w:r>
      <w:r w:rsidR="00C25021" w:rsidRPr="009C0656">
        <w:t>al chain running from structural condition, through a specific leadership intervention, to the documented text or event.</w:t>
      </w:r>
      <w:r w:rsidR="0066162D" w:rsidRPr="009C0656">
        <w:t xml:space="preserve"> </w:t>
      </w:r>
    </w:p>
    <w:p w14:paraId="3EF1A9F4" w14:textId="2BE6C8AD" w:rsidR="00A0193B" w:rsidRPr="009C0656" w:rsidRDefault="00E60CDA" w:rsidP="009C0656">
      <w:pPr>
        <w:spacing w:line="360" w:lineRule="auto"/>
        <w:jc w:val="both"/>
      </w:pPr>
      <w:r w:rsidRPr="009C0656">
        <w:t>The NOI</w:t>
      </w:r>
      <w:r w:rsidR="006C1B80" w:rsidRPr="009C0656">
        <w:t>’</w:t>
      </w:r>
      <w:r w:rsidRPr="009C0656">
        <w:t>s early framing success</w:t>
      </w:r>
      <w:r w:rsidR="002322B1" w:rsidRPr="009C0656">
        <w:t>es</w:t>
      </w:r>
      <w:r w:rsidRPr="009C0656">
        <w:t xml:space="preserve"> </w:t>
      </w:r>
      <w:r w:rsidR="002322B1" w:rsidRPr="009C0656">
        <w:t xml:space="preserve">are </w:t>
      </w:r>
      <w:r w:rsidRPr="009C0656">
        <w:t>explained by the precision with which its diagnostic, prognostic, and motivational frames addressed structural conditions that existing institutions had failed to adequately name or resolve</w:t>
      </w:r>
      <w:r w:rsidR="00860C81" w:rsidRPr="009C0656">
        <w:t xml:space="preserve"> (Snow and Benford, 1988)</w:t>
      </w:r>
      <w:r w:rsidRPr="009C0656">
        <w:t>.</w:t>
      </w:r>
      <w:r w:rsidR="00242C0D" w:rsidRPr="009C0656">
        <w:t xml:space="preserve"> </w:t>
      </w:r>
      <w:r w:rsidR="00860C81" w:rsidRPr="009C0656">
        <w:t>Though its theological claims gave it a unique positioning, even despite the clear influences from previous movement traditions such as the Black Church, Garveyism, Moorish Science Temple, and other immigrant Muslim organisations, this was only part of the wider resonance generated by the movement</w:t>
      </w:r>
      <w:r w:rsidR="006C1B80" w:rsidRPr="009C0656">
        <w:t>’</w:t>
      </w:r>
      <w:r w:rsidR="00860C81" w:rsidRPr="009C0656">
        <w:t xml:space="preserve">s effective counter-framing and narrative inversion, which appealed to many experiencing disenfranchisement and social dislocation </w:t>
      </w:r>
      <w:r w:rsidR="002367D8" w:rsidRPr="009C0656">
        <w:t>in</w:t>
      </w:r>
      <w:r w:rsidR="00860C81" w:rsidRPr="009C0656">
        <w:t xml:space="preserve"> existing ideological and interpretive frameworks (Acevedo et al., 2010). To establish itself as the necessary alternative to the dominant order, the movement was compelled to move beyond purely theological abstraction. Unlike traditional religious entities, which can sometimes operate apart from secular discursive struggles, the NOI integrated its critiques of contemporary socio-political conditions directly into its foundational cosmology.</w:t>
      </w:r>
    </w:p>
    <w:p w14:paraId="18631B63" w14:textId="27934AB0" w:rsidR="00C2201D" w:rsidRPr="009C0656" w:rsidRDefault="00B3175F" w:rsidP="009C0656">
      <w:pPr>
        <w:spacing w:line="360" w:lineRule="auto"/>
        <w:jc w:val="both"/>
      </w:pPr>
      <w:r w:rsidRPr="009C0656">
        <w:t xml:space="preserve">Period 1 is comparatively limited in the quantity of available source material, particularly with respect to oral and performative texts. This scarcity is attributable to the historical context in which the movement emerged, preceding the widespread diffusion of mass media technologies and systematic recording practices. As a result, many speeches, sermons, </w:t>
      </w:r>
      <w:r w:rsidR="000C39AD" w:rsidRPr="009C0656">
        <w:t>alongside</w:t>
      </w:r>
      <w:r w:rsidRPr="009C0656">
        <w:t xml:space="preserve"> other forms of public address were either not documented or have not survived in accessible archival form. </w:t>
      </w:r>
      <w:r w:rsidR="00426B91" w:rsidRPr="009C0656">
        <w:t xml:space="preserve">Such gaps do not </w:t>
      </w:r>
      <w:r w:rsidR="00464F0F" w:rsidRPr="009C0656">
        <w:t>indicate</w:t>
      </w:r>
      <w:r w:rsidR="00FF332B" w:rsidRPr="009C0656">
        <w:t xml:space="preserve"> </w:t>
      </w:r>
      <w:r w:rsidR="00180DA1" w:rsidRPr="009C0656">
        <w:t xml:space="preserve">an absence of rhetoric or oral performance but rather that what is known of </w:t>
      </w:r>
      <w:r w:rsidR="00426B91" w:rsidRPr="009C0656">
        <w:t xml:space="preserve">these </w:t>
      </w:r>
      <w:r w:rsidR="00180DA1" w:rsidRPr="009C0656">
        <w:t xml:space="preserve">performances </w:t>
      </w:r>
      <w:r w:rsidR="00426B91" w:rsidRPr="009C0656">
        <w:t xml:space="preserve">derives </w:t>
      </w:r>
      <w:r w:rsidR="00180DA1" w:rsidRPr="009C0656">
        <w:t xml:space="preserve">largely from external observation rather than direct record. The absence itself is historically revealing, </w:t>
      </w:r>
      <w:r w:rsidR="00180DA1" w:rsidRPr="009C0656">
        <w:lastRenderedPageBreak/>
        <w:t>reflecting the conditions under which the movement communicated and the forms through which its rhetorical strategies were transmitted.</w:t>
      </w:r>
    </w:p>
    <w:p w14:paraId="1A12AC49" w14:textId="58A503CC" w:rsidR="0039338A" w:rsidRPr="009C0656" w:rsidRDefault="0039338A" w:rsidP="009C0656">
      <w:pPr>
        <w:spacing w:line="360" w:lineRule="auto"/>
        <w:jc w:val="both"/>
        <w:rPr>
          <w:highlight w:val="yellow"/>
        </w:rPr>
      </w:pPr>
      <w:r w:rsidRPr="009C0656">
        <w:t>Despite these limitations, the available material offers considerable analytical depth. As foundational texts produced during the formative stages of the movement, they contain the core interpretive frameworks through which grievances and proposed solutions were articulated. Their significance lies in the density of guidance</w:t>
      </w:r>
      <w:r w:rsidR="00CD0AEF" w:rsidRPr="009C0656">
        <w:t xml:space="preserve"> and</w:t>
      </w:r>
      <w:r w:rsidRPr="009C0656">
        <w:t xml:space="preserve"> instruction, making them well suited to the identification and analysis of diagnostic, prognostic, and motivational framing processes.</w:t>
      </w:r>
    </w:p>
    <w:p w14:paraId="2F14454A" w14:textId="10A5C997" w:rsidR="00F92683" w:rsidRPr="009C0656" w:rsidRDefault="00F92683" w:rsidP="009C0656">
      <w:pPr>
        <w:spacing w:line="360" w:lineRule="auto"/>
        <w:jc w:val="both"/>
      </w:pPr>
      <w:r w:rsidRPr="009C0656">
        <w:t xml:space="preserve">This source base shapes the corpus assembled for the period. Fard and Elijah </w:t>
      </w:r>
      <w:r w:rsidR="009748E0" w:rsidRPr="009C0656">
        <w:t xml:space="preserve">Muhammad </w:t>
      </w:r>
      <w:r w:rsidRPr="009C0656">
        <w:t xml:space="preserve">engaged extensively in collective action framing, both </w:t>
      </w:r>
      <w:r w:rsidR="00FF332B" w:rsidRPr="009C0656">
        <w:t>across</w:t>
      </w:r>
      <w:r w:rsidRPr="009C0656">
        <w:t xml:space="preserve"> the emerging membership base and among the wider audiences they sought to mobilise, and it is through the foundational texts of this stage that the movement</w:t>
      </w:r>
      <w:r w:rsidR="006C1B80" w:rsidRPr="009C0656">
        <w:t>’</w:t>
      </w:r>
      <w:r w:rsidRPr="009C0656">
        <w:t>s diagnostic interpretations, proposed solutions, and collective identity were first articulated. The corpus for this period comprises internal doctrinal texts, correspondence attributed to Fard and Elijah</w:t>
      </w:r>
      <w:r w:rsidR="009748E0" w:rsidRPr="009C0656">
        <w:t xml:space="preserve"> Muhammad</w:t>
      </w:r>
      <w:r w:rsidRPr="009C0656">
        <w:t>, contemporary academic and journalistic accounts, and FBI surveillance records.</w:t>
      </w:r>
    </w:p>
    <w:p w14:paraId="4855987D" w14:textId="20368F40" w:rsidR="003A1483" w:rsidRPr="009C0656" w:rsidRDefault="00D158CB" w:rsidP="009C0656">
      <w:pPr>
        <w:spacing w:line="360" w:lineRule="auto"/>
        <w:jc w:val="both"/>
        <w:rPr>
          <w:rFonts w:eastAsiaTheme="majorEastAsia" w:cstheme="majorBidi"/>
          <w:bCs/>
          <w:sz w:val="32"/>
          <w:szCs w:val="32"/>
        </w:rPr>
      </w:pPr>
      <w:r w:rsidRPr="009C0656">
        <w:t>These sources demand distinct interpretive approaches, despite being analysed through a common theoretical framework, and they carry varying forms of epistemological value. In accordance with the perspectival orientation of this study, primary emphasis is placed upon the movement</w:t>
      </w:r>
      <w:r w:rsidR="006C1B80" w:rsidRPr="009C0656">
        <w:t>’</w:t>
      </w:r>
      <w:r w:rsidRPr="009C0656">
        <w:t>s own discursive production, as it provides the most direct access to the categories, meanings, and claims through which actors understood their circumstances. Nevertheless, external accounts remain analytically valuable. Contemporary scholarly observations, media reports, and state surveillance materials offer important evidence regarding the movement</w:t>
      </w:r>
      <w:r w:rsidR="006C1B80" w:rsidRPr="009C0656">
        <w:t>’</w:t>
      </w:r>
      <w:r w:rsidRPr="009C0656">
        <w:t>s public reception and early framing activities, while also revealing the interpretive lenses through which external actors sought to critique or securitise the organisation.</w:t>
      </w:r>
      <w:r w:rsidR="008A5CC0" w:rsidRPr="009C0656">
        <w:t xml:space="preserve"> </w:t>
      </w:r>
      <w:r w:rsidR="003A1483" w:rsidRPr="009C0656">
        <w:br w:type="page"/>
      </w:r>
    </w:p>
    <w:p w14:paraId="56A3294E" w14:textId="4E0C48E7" w:rsidR="00140624" w:rsidRPr="009C0656" w:rsidRDefault="00BA6E2D" w:rsidP="009C0656">
      <w:pPr>
        <w:pStyle w:val="TNRHeading2"/>
        <w:spacing w:line="360" w:lineRule="auto"/>
        <w:jc w:val="both"/>
        <w:rPr>
          <w:color w:val="auto"/>
        </w:rPr>
      </w:pPr>
      <w:r w:rsidRPr="009C0656">
        <w:rPr>
          <w:color w:val="auto"/>
        </w:rPr>
        <w:lastRenderedPageBreak/>
        <w:t>Context and Structural Preconditions</w:t>
      </w:r>
    </w:p>
    <w:p w14:paraId="55A0BA8B" w14:textId="57BFD6F6" w:rsidR="00A07041" w:rsidRPr="009C0656" w:rsidRDefault="00FF332B" w:rsidP="009C0656">
      <w:pPr>
        <w:spacing w:line="360" w:lineRule="auto"/>
        <w:jc w:val="both"/>
      </w:pPr>
      <w:r w:rsidRPr="009C0656">
        <w:t xml:space="preserve">Explaining </w:t>
      </w:r>
      <w:r w:rsidR="00A07041" w:rsidRPr="009C0656">
        <w:t>the core framing in Period 1</w:t>
      </w:r>
      <w:r w:rsidR="002D1840" w:rsidRPr="009C0656">
        <w:t xml:space="preserve"> requires </w:t>
      </w:r>
      <w:r w:rsidR="00A07041" w:rsidRPr="009C0656">
        <w:t>identif</w:t>
      </w:r>
      <w:r w:rsidR="002D1840" w:rsidRPr="009C0656">
        <w:t xml:space="preserve">ying </w:t>
      </w:r>
      <w:r w:rsidR="00A07041" w:rsidRPr="009C0656">
        <w:t xml:space="preserve">the generative mechanisms that enabled particular frames to resonate. This follows from a stratified ontology in which observable meanings are understood as emergent from deeper causal conditions that are not directly accessible in the textual record. Frame analysis is therefore insufficient on its own unless it is anchored in these underlying structural relations, which render certain interpretations intelligible and persuasive </w:t>
      </w:r>
      <w:r w:rsidR="002D1840" w:rsidRPr="009C0656">
        <w:t>in</w:t>
      </w:r>
      <w:r w:rsidR="00A07041" w:rsidRPr="009C0656">
        <w:t xml:space="preserve"> a specific context. Attention to the domain of the real situates framing </w:t>
      </w:r>
      <w:r w:rsidR="002D1840" w:rsidRPr="009C0656">
        <w:t xml:space="preserve">in </w:t>
      </w:r>
      <w:r w:rsidR="00A07041" w:rsidRPr="009C0656">
        <w:t>the conditions that enable both its uptake and effectiveness.</w:t>
      </w:r>
    </w:p>
    <w:p w14:paraId="081E033D" w14:textId="1FF540C4" w:rsidR="00270C93" w:rsidRPr="009C0656" w:rsidRDefault="00270C93" w:rsidP="009C0656">
      <w:pPr>
        <w:spacing w:line="360" w:lineRule="auto"/>
        <w:jc w:val="both"/>
      </w:pPr>
      <w:r w:rsidRPr="009C0656">
        <w:t xml:space="preserve">The conditions traced below in this section are treated as enduring conditions of the real. Leadership and framing constitute the agential mechanisms that activate these conditions into observable events, since it is Fard and Elijah Muhammad’s naming, diagnosis, and organisational practice that convert structural possibility into the particular frames documented in the corpus. Retroduction </w:t>
      </w:r>
      <w:r w:rsidR="009D3193" w:rsidRPr="009C0656">
        <w:t xml:space="preserve">is employed to </w:t>
      </w:r>
      <w:r w:rsidRPr="009C0656">
        <w:t>connect</w:t>
      </w:r>
      <w:r w:rsidR="009D3193" w:rsidRPr="009C0656">
        <w:t xml:space="preserve"> </w:t>
      </w:r>
      <w:r w:rsidRPr="009C0656">
        <w:t>inference</w:t>
      </w:r>
      <w:r w:rsidR="009D3193" w:rsidRPr="009C0656">
        <w:t>s,</w:t>
      </w:r>
      <w:r w:rsidRPr="009C0656">
        <w:t xml:space="preserve"> working from a discrete empirical trace</w:t>
      </w:r>
      <w:r w:rsidR="00676D68" w:rsidRPr="009C0656">
        <w:t xml:space="preserve"> </w:t>
      </w:r>
      <w:r w:rsidRPr="009C0656">
        <w:t>back to the generative conditions and leadership interventions that combined to produce it. The movement’s own doctrinal and historical claims are correspondingly treated as evidence of the mechanisms its adherents identified</w:t>
      </w:r>
      <w:r w:rsidR="00BC36D6" w:rsidRPr="009C0656">
        <w:t>.</w:t>
      </w:r>
    </w:p>
    <w:p w14:paraId="64ECBA1A" w14:textId="3A9D9302" w:rsidR="00955395" w:rsidRPr="009C0656" w:rsidRDefault="00A07041" w:rsidP="009C0656">
      <w:pPr>
        <w:spacing w:line="360" w:lineRule="auto"/>
        <w:jc w:val="both"/>
      </w:pPr>
      <w:r w:rsidRPr="009C0656">
        <w:t xml:space="preserve">The </w:t>
      </w:r>
      <w:r w:rsidR="00B97E68" w:rsidRPr="009C0656">
        <w:t xml:space="preserve">analysis focuses </w:t>
      </w:r>
      <w:r w:rsidRPr="009C0656">
        <w:t>on the relational links between these conditions and their discursive expression</w:t>
      </w:r>
      <w:r w:rsidR="00BC36D6" w:rsidRPr="009C0656">
        <w:t xml:space="preserve">, </w:t>
      </w:r>
      <w:r w:rsidRPr="009C0656">
        <w:t>treat</w:t>
      </w:r>
      <w:r w:rsidR="00BC36D6" w:rsidRPr="009C0656">
        <w:t xml:space="preserve">ing context </w:t>
      </w:r>
      <w:r w:rsidRPr="009C0656">
        <w:t>in compressed form, before attention shifts</w:t>
      </w:r>
      <w:r w:rsidR="004C3217" w:rsidRPr="009C0656">
        <w:t xml:space="preserve"> in the Diagnostic, Prognostic, and Motivational Framing sections that follow, to the specific leadership mechanisms through which structural possibility is translated into framing practice.</w:t>
      </w:r>
    </w:p>
    <w:p w14:paraId="69B10E01" w14:textId="3E74CEA8" w:rsidR="000D5B0C" w:rsidRPr="009C0656" w:rsidRDefault="000D5B0C" w:rsidP="009C0656">
      <w:pPr>
        <w:pStyle w:val="TNRHeading3"/>
        <w:spacing w:line="360" w:lineRule="auto"/>
        <w:jc w:val="both"/>
        <w:rPr>
          <w:color w:val="auto"/>
        </w:rPr>
      </w:pPr>
      <w:r w:rsidRPr="009C0656">
        <w:rPr>
          <w:color w:val="auto"/>
        </w:rPr>
        <w:t>Racialised Urban North</w:t>
      </w:r>
    </w:p>
    <w:p w14:paraId="7381C91B" w14:textId="5450D9C0" w:rsidR="00A84DD5" w:rsidRPr="009C0656" w:rsidRDefault="00276DC7" w:rsidP="009C0656">
      <w:pPr>
        <w:spacing w:line="360" w:lineRule="auto"/>
        <w:jc w:val="both"/>
      </w:pPr>
      <w:r w:rsidRPr="009C0656">
        <w:t xml:space="preserve">As Beynon (1938, p. 905) reported, by August 1937 there was </w:t>
      </w:r>
      <w:r w:rsidR="006C1B80" w:rsidRPr="009C0656">
        <w:t>‘</w:t>
      </w:r>
      <w:r w:rsidRPr="009C0656">
        <w:t>no known case of unemployment</w:t>
      </w:r>
      <w:r w:rsidR="006C1B80" w:rsidRPr="009C0656">
        <w:t>’</w:t>
      </w:r>
      <w:r w:rsidRPr="009C0656">
        <w:t xml:space="preserve"> among Detroit</w:t>
      </w:r>
      <w:r w:rsidR="006C1B80" w:rsidRPr="009C0656">
        <w:t>’</w:t>
      </w:r>
      <w:r w:rsidRPr="009C0656">
        <w:t>s Black Muslims.</w:t>
      </w:r>
      <w:r w:rsidR="00333AD4" w:rsidRPr="009C0656">
        <w:t xml:space="preserve"> Whether or not this claim is hyperbolic, it should be reminded </w:t>
      </w:r>
      <w:proofErr w:type="gramStart"/>
      <w:r w:rsidR="00333AD4" w:rsidRPr="009C0656">
        <w:t xml:space="preserve">that </w:t>
      </w:r>
      <w:r w:rsidRPr="009C0656">
        <w:t xml:space="preserve"> </w:t>
      </w:r>
      <w:r w:rsidR="005311D9" w:rsidRPr="009C0656">
        <w:t>Beynon’s</w:t>
      </w:r>
      <w:proofErr w:type="gramEnd"/>
      <w:r w:rsidR="005311D9" w:rsidRPr="009C0656">
        <w:t xml:space="preserve"> findings represent evidence of the movement’s self-presentation to a sympathetic observer, while actual </w:t>
      </w:r>
      <w:r w:rsidR="00F55F4B" w:rsidRPr="009C0656">
        <w:t>audited employment rates may differ. Nonetheless, s</w:t>
      </w:r>
      <w:r w:rsidRPr="009C0656">
        <w:t xml:space="preserve">ituated against the condition of widespread Black unemployment in the urban North during the Depression era, this observation </w:t>
      </w:r>
      <w:r w:rsidR="00342541" w:rsidRPr="009C0656">
        <w:t xml:space="preserve">licenses a retroductive move </w:t>
      </w:r>
      <w:r w:rsidRPr="009C0656">
        <w:t>beyond the movement</w:t>
      </w:r>
      <w:r w:rsidR="006C1B80" w:rsidRPr="009C0656">
        <w:t>’</w:t>
      </w:r>
      <w:r w:rsidRPr="009C0656">
        <w:t xml:space="preserve">s rhetoric to the deeper structural conditions that shaped its </w:t>
      </w:r>
      <w:proofErr w:type="spellStart"/>
      <w:proofErr w:type="gramStart"/>
      <w:r w:rsidRPr="009C0656">
        <w:t>emergence.</w:t>
      </w:r>
      <w:r w:rsidR="00E808EA" w:rsidRPr="009C0656">
        <w:t>The</w:t>
      </w:r>
      <w:proofErr w:type="spellEnd"/>
      <w:proofErr w:type="gramEnd"/>
      <w:r w:rsidR="00E808EA" w:rsidRPr="009C0656">
        <w:t xml:space="preserve"> claim is legible as an empirical trace only once the racialised employment structures of Depression-era Detroit are read as its enabling condition. </w:t>
      </w:r>
      <w:r w:rsidRPr="009C0656">
        <w:t xml:space="preserve"> </w:t>
      </w:r>
    </w:p>
    <w:p w14:paraId="6F640814" w14:textId="2503C8A5" w:rsidR="00A84DD5" w:rsidRPr="009C0656" w:rsidRDefault="00313280" w:rsidP="009C0656">
      <w:pPr>
        <w:spacing w:line="360" w:lineRule="auto"/>
        <w:jc w:val="both"/>
      </w:pPr>
      <w:r w:rsidRPr="009C0656">
        <w:t>One of the major conditions</w:t>
      </w:r>
      <w:r w:rsidR="00B97E68" w:rsidRPr="009C0656">
        <w:t xml:space="preserve"> that enabled the</w:t>
      </w:r>
      <w:r w:rsidRPr="009C0656">
        <w:t xml:space="preserve"> NOI </w:t>
      </w:r>
      <w:r w:rsidR="00B97E68" w:rsidRPr="009C0656">
        <w:t xml:space="preserve">to </w:t>
      </w:r>
      <w:proofErr w:type="gramStart"/>
      <w:r w:rsidRPr="009C0656">
        <w:t>emerge</w:t>
      </w:r>
      <w:proofErr w:type="gramEnd"/>
      <w:r w:rsidR="00B97E68" w:rsidRPr="009C0656">
        <w:t xml:space="preserve"> </w:t>
      </w:r>
      <w:r w:rsidRPr="009C0656">
        <w:t>and r</w:t>
      </w:r>
      <w:r w:rsidR="00D55EE1" w:rsidRPr="009C0656">
        <w:t xml:space="preserve">ise </w:t>
      </w:r>
      <w:r w:rsidR="0018572C" w:rsidRPr="009C0656">
        <w:t>was the setting of a racialised urban North. The Great Migration and the specific social geography of Detroit and Chicago</w:t>
      </w:r>
      <w:r w:rsidR="006C1B80" w:rsidRPr="009C0656">
        <w:t>’</w:t>
      </w:r>
      <w:r w:rsidR="0018572C" w:rsidRPr="009C0656">
        <w:t>s Black migrant communities</w:t>
      </w:r>
      <w:r w:rsidR="001F6FB7" w:rsidRPr="009C0656">
        <w:t xml:space="preserve"> produced a displaced population who fought to navigate unfamiliar urban structures, concentrated in deteriorating inner-city zones.</w:t>
      </w:r>
    </w:p>
    <w:p w14:paraId="09B2A0C5" w14:textId="41E3FC7A" w:rsidR="000D45BA" w:rsidRPr="009C0656" w:rsidRDefault="00737E11" w:rsidP="009C0656">
      <w:pPr>
        <w:spacing w:line="360" w:lineRule="auto"/>
        <w:jc w:val="both"/>
      </w:pPr>
      <w:r w:rsidRPr="009C0656">
        <w:lastRenderedPageBreak/>
        <w:t xml:space="preserve">Elijah Muhammad, with wife Clara, who </w:t>
      </w:r>
      <w:proofErr w:type="gramStart"/>
      <w:r w:rsidRPr="009C0656">
        <w:t>both at</w:t>
      </w:r>
      <w:proofErr w:type="gramEnd"/>
      <w:r w:rsidRPr="009C0656">
        <w:t xml:space="preserve"> the time went by </w:t>
      </w:r>
      <w:r w:rsidR="00AA2FB9" w:rsidRPr="009C0656">
        <w:t xml:space="preserve">the surname </w:t>
      </w:r>
      <w:r w:rsidRPr="009C0656">
        <w:t>Poole</w:t>
      </w:r>
      <w:r w:rsidR="00AA2FB9" w:rsidRPr="009C0656">
        <w:t xml:space="preserve"> preceding their </w:t>
      </w:r>
      <w:r w:rsidR="00CA4350" w:rsidRPr="009C0656">
        <w:t xml:space="preserve">conversion, were part of this migration from the rural South. </w:t>
      </w:r>
      <w:r w:rsidR="00371A20" w:rsidRPr="009C0656">
        <w:t xml:space="preserve">The North, on the surface, presented a </w:t>
      </w:r>
      <w:r w:rsidR="00FB5F44" w:rsidRPr="009C0656">
        <w:t xml:space="preserve">thriving opportunity, </w:t>
      </w:r>
      <w:r w:rsidR="005C73A8" w:rsidRPr="009C0656">
        <w:t xml:space="preserve">given the need for unskilled labour where foreign immigration declined, and </w:t>
      </w:r>
      <w:r w:rsidR="00FB5F44" w:rsidRPr="009C0656">
        <w:t xml:space="preserve">particularly relative to the circumstances of the South which saw </w:t>
      </w:r>
      <w:r w:rsidR="002B0201" w:rsidRPr="009C0656">
        <w:t xml:space="preserve">a boom in </w:t>
      </w:r>
      <w:r w:rsidR="00A61805" w:rsidRPr="009C0656">
        <w:t xml:space="preserve">mechanised agriculture, and </w:t>
      </w:r>
      <w:r w:rsidR="008F7721" w:rsidRPr="009C0656">
        <w:t xml:space="preserve">the harsh racist realities of </w:t>
      </w:r>
      <w:r w:rsidR="009336BA" w:rsidRPr="009C0656">
        <w:t xml:space="preserve">the violent and economically oppressive </w:t>
      </w:r>
      <w:r w:rsidR="008F7721" w:rsidRPr="009C0656">
        <w:t>Jim Crow legislation</w:t>
      </w:r>
      <w:r w:rsidR="009336BA" w:rsidRPr="009C0656">
        <w:t xml:space="preserve"> coupled with</w:t>
      </w:r>
      <w:r w:rsidR="006F05BA" w:rsidRPr="009C0656">
        <w:t xml:space="preserve"> the resurgence of the Ku Klux Klan in the 1920s</w:t>
      </w:r>
      <w:r w:rsidR="00616277" w:rsidRPr="009C0656">
        <w:t xml:space="preserve">. This movement was encouraged </w:t>
      </w:r>
      <w:r w:rsidR="006911A2" w:rsidRPr="009C0656">
        <w:t>as a parallel to the Israelites in Egypt, with the Northern cities being deemed as the Promised Land (</w:t>
      </w:r>
      <w:r w:rsidR="00B33F23" w:rsidRPr="009C0656">
        <w:t>Lemann, 2011</w:t>
      </w:r>
      <w:r w:rsidR="006911A2" w:rsidRPr="009C0656">
        <w:t>).</w:t>
      </w:r>
      <w:r w:rsidR="008F7721" w:rsidRPr="009C0656">
        <w:t xml:space="preserve"> </w:t>
      </w:r>
    </w:p>
    <w:p w14:paraId="13D62E79" w14:textId="6E622874" w:rsidR="007D0BDF" w:rsidRPr="009C0656" w:rsidRDefault="00E22FB2" w:rsidP="009C0656">
      <w:pPr>
        <w:spacing w:line="360" w:lineRule="auto"/>
        <w:jc w:val="both"/>
      </w:pPr>
      <w:r w:rsidRPr="009C0656">
        <w:t xml:space="preserve">A new environment </w:t>
      </w:r>
      <w:r w:rsidR="0001218F" w:rsidRPr="009C0656">
        <w:t xml:space="preserve">created unfamiliarity which worsened through further racial and ethnic tensions. Such </w:t>
      </w:r>
      <w:r w:rsidR="009000F7" w:rsidRPr="009C0656">
        <w:t xml:space="preserve">feelings of dislocation </w:t>
      </w:r>
      <w:r w:rsidR="00B50933" w:rsidRPr="009C0656">
        <w:t>advanced the flourish</w:t>
      </w:r>
      <w:r w:rsidR="00CC3787" w:rsidRPr="009C0656">
        <w:t>ment</w:t>
      </w:r>
      <w:r w:rsidR="00B50933" w:rsidRPr="009C0656">
        <w:t xml:space="preserve"> of religious movements, particularly those that were new</w:t>
      </w:r>
      <w:r w:rsidR="00762BF7" w:rsidRPr="009C0656">
        <w:t xml:space="preserve">ly established and offered a resonant lens through which to </w:t>
      </w:r>
      <w:r w:rsidR="006A7695" w:rsidRPr="009C0656">
        <w:t xml:space="preserve">view the position of the Blacks in </w:t>
      </w:r>
      <w:r w:rsidR="00F473BC" w:rsidRPr="009C0656">
        <w:t>this part of America.</w:t>
      </w:r>
    </w:p>
    <w:p w14:paraId="0E231EE0" w14:textId="08025B6B" w:rsidR="00696863" w:rsidRPr="009C0656" w:rsidRDefault="00AD7C07" w:rsidP="009C0656">
      <w:pPr>
        <w:spacing w:line="360" w:lineRule="auto"/>
        <w:jc w:val="both"/>
      </w:pPr>
      <w:r w:rsidRPr="009C0656">
        <w:t xml:space="preserve">As </w:t>
      </w:r>
      <w:proofErr w:type="spellStart"/>
      <w:r w:rsidRPr="009C0656">
        <w:t>Tinaz</w:t>
      </w:r>
      <w:proofErr w:type="spellEnd"/>
      <w:r w:rsidRPr="009C0656">
        <w:t xml:space="preserve"> </w:t>
      </w:r>
      <w:r w:rsidR="00882B06" w:rsidRPr="009C0656">
        <w:t>(</w:t>
      </w:r>
      <w:r w:rsidR="008B06CE" w:rsidRPr="009C0656">
        <w:t xml:space="preserve">1996, </w:t>
      </w:r>
      <w:r w:rsidR="00BE462E" w:rsidRPr="009C0656">
        <w:t>p. 194</w:t>
      </w:r>
      <w:r w:rsidR="00882B06" w:rsidRPr="009C0656">
        <w:t xml:space="preserve">) </w:t>
      </w:r>
      <w:r w:rsidRPr="009C0656">
        <w:t>rightly identi</w:t>
      </w:r>
      <w:r w:rsidR="00D672F5" w:rsidRPr="009C0656">
        <w:t>f</w:t>
      </w:r>
      <w:r w:rsidRPr="009C0656">
        <w:t>ies, social movements</w:t>
      </w:r>
      <w:r w:rsidR="007E1331" w:rsidRPr="009C0656">
        <w:t xml:space="preserve"> </w:t>
      </w:r>
      <w:r w:rsidR="006C1B80" w:rsidRPr="009C0656">
        <w:t>‘</w:t>
      </w:r>
      <w:r w:rsidR="007E1331" w:rsidRPr="009C0656">
        <w:t>tend to arise within the contexts of great Depressions or moments of social uncertainty</w:t>
      </w:r>
      <w:r w:rsidR="00882B06" w:rsidRPr="009C0656">
        <w:t>.</w:t>
      </w:r>
      <w:r w:rsidR="006C1B80" w:rsidRPr="009C0656">
        <w:t>’</w:t>
      </w:r>
      <w:r w:rsidRPr="009C0656">
        <w:t xml:space="preserve"> </w:t>
      </w:r>
      <w:r w:rsidR="00696863" w:rsidRPr="009C0656">
        <w:t>In such circumstances, available alternatives are often constrained, and movements offer individuals a sense of collective identity and belonging organised around a shared cause, while providing established behavioural norms through which participants can interpret and respond to their circumstances.</w:t>
      </w:r>
      <w:r w:rsidR="00BE53F6" w:rsidRPr="009C0656">
        <w:t xml:space="preserve"> They also provide </w:t>
      </w:r>
      <w:r w:rsidR="00F62C28" w:rsidRPr="009C0656">
        <w:t xml:space="preserve">pragmatic solutions to </w:t>
      </w:r>
      <w:r w:rsidR="00D641B9" w:rsidRPr="009C0656">
        <w:t>conditioned socioeconomic and political needs</w:t>
      </w:r>
      <w:r w:rsidR="00714FFE" w:rsidRPr="009C0656">
        <w:t xml:space="preserve"> with actual opportunities and an outlet for public expression</w:t>
      </w:r>
      <w:r w:rsidR="003D1F88" w:rsidRPr="009C0656">
        <w:t>.</w:t>
      </w:r>
    </w:p>
    <w:p w14:paraId="372C75CB" w14:textId="4FF796BE" w:rsidR="001853DB" w:rsidRPr="009C0656" w:rsidRDefault="000D45BA" w:rsidP="009C0656">
      <w:pPr>
        <w:spacing w:line="360" w:lineRule="auto"/>
        <w:jc w:val="both"/>
      </w:pPr>
      <w:r w:rsidRPr="009C0656">
        <w:t>Much of this precarity became reinforced by the Great Depression.</w:t>
      </w:r>
      <w:r w:rsidR="009F0566" w:rsidRPr="009C0656">
        <w:t xml:space="preserve"> Black institutions failed to cope with the magnitude of the economic crisis</w:t>
      </w:r>
      <w:r w:rsidR="00E71040" w:rsidRPr="009C0656">
        <w:t xml:space="preserve">, including even the Black Church who </w:t>
      </w:r>
      <w:r w:rsidR="00F676EA" w:rsidRPr="009C0656">
        <w:t xml:space="preserve">struggled </w:t>
      </w:r>
      <w:r w:rsidR="006E73E6" w:rsidRPr="009C0656">
        <w:t>with imminent collapse due to the congregation</w:t>
      </w:r>
      <w:r w:rsidR="006C1B80" w:rsidRPr="009C0656">
        <w:t>’</w:t>
      </w:r>
      <w:r w:rsidR="0032648C" w:rsidRPr="009C0656">
        <w:t>s</w:t>
      </w:r>
      <w:r w:rsidR="006E73E6" w:rsidRPr="009C0656">
        <w:t xml:space="preserve"> inability to tithe</w:t>
      </w:r>
      <w:r w:rsidR="00385CD0" w:rsidRPr="009C0656">
        <w:t>.</w:t>
      </w:r>
      <w:r w:rsidR="001853DB" w:rsidRPr="009C0656">
        <w:t xml:space="preserve"> Such conditions cultivated despair in Elijah</w:t>
      </w:r>
      <w:r w:rsidR="00B20677" w:rsidRPr="009C0656">
        <w:t xml:space="preserve"> Muhammad</w:t>
      </w:r>
      <w:r w:rsidR="001853DB" w:rsidRPr="009C0656">
        <w:t xml:space="preserve"> himself, who experienced severe personal trouble before his transformative meeting with Fard Muhammad.</w:t>
      </w:r>
    </w:p>
    <w:p w14:paraId="56D283F3" w14:textId="40FD4401" w:rsidR="00C50B78" w:rsidRPr="009C0656" w:rsidRDefault="002C5BA5" w:rsidP="009C0656">
      <w:pPr>
        <w:pStyle w:val="TNRHeading3"/>
        <w:spacing w:line="360" w:lineRule="auto"/>
        <w:jc w:val="both"/>
        <w:rPr>
          <w:color w:val="auto"/>
        </w:rPr>
      </w:pPr>
      <w:r w:rsidRPr="009C0656">
        <w:rPr>
          <w:color w:val="auto"/>
        </w:rPr>
        <w:t>Structural Vacancy</w:t>
      </w:r>
    </w:p>
    <w:p w14:paraId="54321F1F" w14:textId="3E49C3B9" w:rsidR="0020621F" w:rsidRPr="009C0656" w:rsidRDefault="0020621F" w:rsidP="009C0656">
      <w:pPr>
        <w:spacing w:line="360" w:lineRule="auto"/>
        <w:jc w:val="both"/>
      </w:pPr>
      <w:r w:rsidRPr="009C0656">
        <w:t>By the early 1930s, Black migrants in Northern cities faced an ideological landscape defined by the limited capacity of existing organisations to address the conditions of urban Black life. Bodies such as the NAACP, the Black Church, the remnants of Garveyite nationalism, and the Moorish Science Temple (MST) commanded substantial followings and fulfilled important social, political, and religious functions, yet none offered a comprehensive response to the convergence of challenges facing Black urban communities</w:t>
      </w:r>
      <w:r w:rsidR="00BC3420" w:rsidRPr="009C0656">
        <w:t>, including</w:t>
      </w:r>
      <w:r w:rsidRPr="009C0656">
        <w:t xml:space="preserve"> a Christianity historically bound to a racially unequal social order, structures that normalised Black subordination, and the economic devastation of the Great Depression, which eroded many of the institutional supports on which communities relied. Integrationist organisations worked largely within existing structures; nationalist projects had lost much of their organisational momentum; and Islamic alternatives, though offering a different religious horizon, rarely </w:t>
      </w:r>
      <w:r w:rsidRPr="009C0656">
        <w:lastRenderedPageBreak/>
        <w:t xml:space="preserve">centred the racialised experience of Black Americans with comparable directness. </w:t>
      </w:r>
      <w:r w:rsidR="00D55EE1" w:rsidRPr="009C0656">
        <w:t>The N</w:t>
      </w:r>
      <w:r w:rsidRPr="009C0656">
        <w:t>OI emerged, drawing these disparate necessities into a single interpretive framework.</w:t>
      </w:r>
    </w:p>
    <w:p w14:paraId="11BFA37D" w14:textId="4D23D9BA" w:rsidR="000814B4" w:rsidRPr="009C0656" w:rsidRDefault="000814B4" w:rsidP="009C0656">
      <w:pPr>
        <w:spacing w:line="360" w:lineRule="auto"/>
        <w:jc w:val="both"/>
      </w:pPr>
      <w:r w:rsidRPr="009C0656">
        <w:t>The Black Church occupied a central position in Black American institutional life. As the most enduring and widely distributed institution available to Black Americans across both the South and the urban North, it functioned as spiritual centre, source of community support, provider of mutual aid, and political space, and its membership far exceeded that of any comparable organisation. By the 1930s, however, a growing strand of Black intellectual and religious critique had begun to question whether the Church</w:t>
      </w:r>
      <w:r w:rsidR="006C1B80" w:rsidRPr="009C0656">
        <w:t>’</w:t>
      </w:r>
      <w:r w:rsidRPr="009C0656">
        <w:t>s dominant theological orientation could meet the demands of Black liberation. This critique increasingly reflected the frustrations of Northern urban migrants, who perceived a widening gap between the realities of racial oppression and the solutions offered by established religious institutions (Lincoln, 1961, p. 215).</w:t>
      </w:r>
    </w:p>
    <w:p w14:paraId="51DEFA03" w14:textId="1F78CEAB" w:rsidR="00840CE0" w:rsidRPr="009C0656" w:rsidRDefault="00840CE0" w:rsidP="009C0656">
      <w:pPr>
        <w:spacing w:line="360" w:lineRule="auto"/>
        <w:jc w:val="both"/>
      </w:pPr>
      <w:r w:rsidRPr="009C0656">
        <w:t>This critique had been developing since the early decades of the twentieth century</w:t>
      </w:r>
      <w:r w:rsidR="00FE0561" w:rsidRPr="009C0656">
        <w:t xml:space="preserve"> </w:t>
      </w:r>
      <w:r w:rsidRPr="009C0656">
        <w:t xml:space="preserve">but acquired greater force amid the social and economic dislocations of Depression-era urban America. Frazier (1974, p. 84), in his analysis of the Black Church, argued that the institution had often served to facilitate accommodation to racial subordination rather than to challenge it directly. He further contended that its predominantly otherworldly orientation </w:t>
      </w:r>
      <w:r w:rsidR="006C1B80" w:rsidRPr="009C0656">
        <w:t>‘</w:t>
      </w:r>
      <w:r w:rsidRPr="009C0656">
        <w:t>cast a shadow over the entire intellectual life of Negroes,</w:t>
      </w:r>
      <w:r w:rsidR="006C1B80" w:rsidRPr="009C0656">
        <w:t>’</w:t>
      </w:r>
      <w:r w:rsidRPr="009C0656">
        <w:t xml:space="preserve"> encouraging an emphasis on spiritual consolation and future redemption over immediate social transformation</w:t>
      </w:r>
      <w:r w:rsidR="007A3009" w:rsidRPr="009C0656">
        <w:t xml:space="preserve"> (ibid., p. 86)</w:t>
      </w:r>
      <w:r w:rsidRPr="009C0656">
        <w:t>. From this perspective, religious practice could channel political frustrations into forms that were morally sustaining yet limited in their capacity to confront existing structures of power.</w:t>
      </w:r>
      <w:r w:rsidR="007C54C7" w:rsidRPr="009C0656">
        <w:t xml:space="preserve"> </w:t>
      </w:r>
      <w:r w:rsidR="00F35AE8" w:rsidRPr="009C0656">
        <w:t>The critique was sociological but also included a theological dimension that implicated the religion itself for Black Americans</w:t>
      </w:r>
      <w:r w:rsidRPr="009C0656">
        <w:t xml:space="preserve">. </w:t>
      </w:r>
      <w:r w:rsidR="007C54C7" w:rsidRPr="009C0656">
        <w:t>For many critics, Christianity carried the historical burden of having been introduced to enslaved populations by white slaveholders and colonial authorities who frequently employed Christian teachings to legitimise hierarchy and reinforce the prevailing racial order. Although Black Christians developed their own traditions of resistance and communal solidarity, the historical association between Christianity and systems of oppression remained a source of tension and critique.</w:t>
      </w:r>
    </w:p>
    <w:p w14:paraId="6A71AB95" w14:textId="037A10F0" w:rsidR="003A3957" w:rsidRPr="009C0656" w:rsidRDefault="007C54C7" w:rsidP="009C0656">
      <w:pPr>
        <w:spacing w:line="360" w:lineRule="auto"/>
        <w:jc w:val="both"/>
      </w:pPr>
      <w:r w:rsidRPr="009C0656">
        <w:t>From the earliest periods of Atlantic slavery, biblical authority was frequently invoked to justify the enslavement of Africans</w:t>
      </w:r>
      <w:r w:rsidR="00BA383B" w:rsidRPr="009C0656">
        <w:t>. I</w:t>
      </w:r>
      <w:r w:rsidRPr="009C0656">
        <w:t xml:space="preserve">nterpretations of the so-called Curse of Ham provided religious justification for racial hierarchy, while scriptural passages instructing servants to obey their masters were selectively emphasised to reinforce relations of domination (Haynes, 2002; Whitford, 2009). As Jennings (2010) argues, many white Christians developed theological interpretations that accommodated, and at times legitimised, the displacement and subordination of non-white peoples. The religious ideas used to justify colonial expansion and African enslavement continued to shape strands of white American Christianity, providing moral and religious support for the racial order of the Jim Crow era. This theological inheritance was particularly pertinent to the Northern migrant context, where there was recognition that </w:t>
      </w:r>
      <w:r w:rsidRPr="009C0656">
        <w:lastRenderedPageBreak/>
        <w:t>the Christianity practised in Black churches was, structurally, the same religion practised by the lyncher. The scale of Black Christian affiliation in fact made this accommodation more visible, since it meant that the primary institutional expression of Black communal life was organised around a theology whose historical function had been the sanctification of Black suffering.</w:t>
      </w:r>
    </w:p>
    <w:p w14:paraId="7F4686FF" w14:textId="3C5A2301" w:rsidR="008B4478" w:rsidRPr="009C0656" w:rsidRDefault="008B4478" w:rsidP="009C0656">
      <w:pPr>
        <w:spacing w:line="360" w:lineRule="auto"/>
        <w:jc w:val="both"/>
      </w:pPr>
      <w:r w:rsidRPr="009C0656">
        <w:t>Hartman</w:t>
      </w:r>
      <w:r w:rsidR="006C1B80" w:rsidRPr="009C0656">
        <w:t>’</w:t>
      </w:r>
      <w:r w:rsidRPr="009C0656">
        <w:t xml:space="preserve">s (1997) concept of the afterlife of slavery is foundational for understanding the position of Black Americans in the post-emancipation period. Slavery established a racial order that continued to shape life chances long after formal abolition, contributing to unequal access to education, healthcare, economic opportunity, and political power, while also increasing exposure to poverty, incarceration, </w:t>
      </w:r>
      <w:r w:rsidR="00980874" w:rsidRPr="009C0656">
        <w:t>which frequently resulted in</w:t>
      </w:r>
      <w:r w:rsidRPr="009C0656">
        <w:t xml:space="preserve"> premature death. The ideological frameworks once used to justify hereditary African enslavement persisted in modified forms that helped sustain the marginalisation of Black Americans </w:t>
      </w:r>
      <w:r w:rsidR="00D55EE1" w:rsidRPr="009C0656">
        <w:t>in</w:t>
      </w:r>
      <w:r w:rsidRPr="009C0656">
        <w:t xml:space="preserve"> twentieth-century society, often through the criminalisation of Black communities and cultural narratives that discouraged resistance to existing inequalities. Critics argued that forms of Christianity emphasising future salvation and heavenly justice could, at times, encourage accommodation to present conditions. As Douglas (2015) demonstrates, elements of white supremacy, American exceptionalism, and Christian discourse became closely intertwined </w:t>
      </w:r>
      <w:r w:rsidR="00D55EE1" w:rsidRPr="009C0656">
        <w:t>in</w:t>
      </w:r>
      <w:r w:rsidRPr="009C0656">
        <w:t xml:space="preserve"> a broader moral and religious worldview that contributed to the exclusion of Black Americans from full recognition as equal citizens and from dominant understandings of shared humanity.</w:t>
      </w:r>
    </w:p>
    <w:p w14:paraId="273E1CE9" w14:textId="0AF46425" w:rsidR="00BA6E4B" w:rsidRPr="009C0656" w:rsidRDefault="008B4478" w:rsidP="009C0656">
      <w:pPr>
        <w:spacing w:line="360" w:lineRule="auto"/>
        <w:jc w:val="both"/>
      </w:pPr>
      <w:r w:rsidRPr="009C0656">
        <w:t>Alongside the Black Church, organisations such as the NAACP pursued strategies of accommodation and gradual reform that many critics regarded as insufficiently responsive to the depth of disenfranchisement experienced by urban migrants. Although successful in mobilising and sustaining substantial membership, the NAACP</w:t>
      </w:r>
      <w:r w:rsidR="006C1B80" w:rsidRPr="009C0656">
        <w:t>’</w:t>
      </w:r>
      <w:r w:rsidRPr="009C0656">
        <w:t>s integrationist aims were often perceived as requiring concessions that limited more radical political transformation, drawing segments of the Black population toward institutions articulating more autonomous political and social frameworks. The organisation has also been characterised as focusing disproportionately on the advancement of middle-class Black Americans, with comparatively little attention to the working-class population that other movements placed at the centre of their organising efforts (Horne, 1995, p. 123).</w:t>
      </w:r>
    </w:p>
    <w:p w14:paraId="056F4D06" w14:textId="7A4DDCAF" w:rsidR="004113A4" w:rsidRPr="009C0656" w:rsidRDefault="006179AB" w:rsidP="009C0656">
      <w:pPr>
        <w:spacing w:line="360" w:lineRule="auto"/>
        <w:jc w:val="both"/>
        <w:rPr>
          <w:b/>
          <w:bCs/>
        </w:rPr>
      </w:pPr>
      <w:r w:rsidRPr="009C0656">
        <w:t>The resulting gap was fundamentally ideological, reflecting the absence of a framework that named Black suffering in terms matching lived experience and did so with a clarity capable of producing immediate recognition.</w:t>
      </w:r>
      <w:r w:rsidR="00F67E39" w:rsidRPr="009C0656">
        <w:t xml:space="preserve"> </w:t>
      </w:r>
      <w:r w:rsidRPr="009C0656">
        <w:t xml:space="preserve">This context explains the structural space into which the NOI entered and </w:t>
      </w:r>
      <w:r w:rsidR="00D55EE1" w:rsidRPr="009C0656">
        <w:t>in</w:t>
      </w:r>
      <w:r w:rsidRPr="009C0656">
        <w:t xml:space="preserve"> which it maintained its presence</w:t>
      </w:r>
      <w:r w:rsidR="001A2C1C" w:rsidRPr="009C0656">
        <w:t>. A</w:t>
      </w:r>
      <w:r w:rsidRPr="009C0656">
        <w:t>mid the perceived inadequacy of existing institutions, the NOI distinguished itself through a diagnostic framework that interpreted the conditions facing Black Americans in more expansive terms than earlier formations had been willing or able to offer.</w:t>
      </w:r>
      <w:r w:rsidR="0000767E" w:rsidRPr="009C0656">
        <w:t xml:space="preserve"> This vacancy</w:t>
      </w:r>
      <w:r w:rsidR="00524F5C" w:rsidRPr="009C0656">
        <w:t xml:space="preserve"> </w:t>
      </w:r>
      <w:r w:rsidR="0000767E" w:rsidRPr="009C0656">
        <w:t>remained a structural condition; its translation into the NOI’s specific diagnostic and prognostic frames depended on the agential work of leadership</w:t>
      </w:r>
      <w:r w:rsidR="00524F5C" w:rsidRPr="009C0656">
        <w:t xml:space="preserve"> </w:t>
      </w:r>
      <w:r w:rsidR="0000767E" w:rsidRPr="009C0656">
        <w:t>through which Fard and Elijah Muhammad read the vacancy and gave it determinate content.</w:t>
      </w:r>
      <w:r w:rsidR="004E7923" w:rsidRPr="009C0656">
        <w:t xml:space="preserve"> </w:t>
      </w:r>
      <w:r w:rsidR="000E37EA" w:rsidRPr="009C0656">
        <w:t xml:space="preserve">The retroductive chain can be traced sequentially. It starts </w:t>
      </w:r>
      <w:r w:rsidR="000E37EA" w:rsidRPr="009C0656">
        <w:lastRenderedPageBreak/>
        <w:t>from this ideological vacancy as a real, if unobserved, precondition; it passes through the leadership’s naming of Black suffering; and it arrives at a Muslim constituency established in Detroit by the mid-1930s.</w:t>
      </w:r>
      <w:r w:rsidR="004E7923" w:rsidRPr="009C0656">
        <w:t xml:space="preserve"> the corpus analysed below constitutes the observable trace of that chain’s final link.</w:t>
      </w:r>
    </w:p>
    <w:p w14:paraId="18108986" w14:textId="4B1F8E82" w:rsidR="00FC6276" w:rsidRPr="009C0656" w:rsidRDefault="00FC6276" w:rsidP="009C0656">
      <w:pPr>
        <w:pStyle w:val="TNRHeading3"/>
        <w:spacing w:line="360" w:lineRule="auto"/>
        <w:jc w:val="both"/>
        <w:rPr>
          <w:color w:val="auto"/>
        </w:rPr>
      </w:pPr>
      <w:r w:rsidRPr="009C0656">
        <w:rPr>
          <w:color w:val="auto"/>
        </w:rPr>
        <w:t>The Genealogy of the NOI</w:t>
      </w:r>
      <w:r w:rsidR="006C1B80" w:rsidRPr="009C0656">
        <w:rPr>
          <w:color w:val="auto"/>
        </w:rPr>
        <w:t>’</w:t>
      </w:r>
      <w:r w:rsidRPr="009C0656">
        <w:rPr>
          <w:color w:val="auto"/>
        </w:rPr>
        <w:t>s Rhetoric</w:t>
      </w:r>
    </w:p>
    <w:p w14:paraId="2A62A511" w14:textId="230E42D8" w:rsidR="006E5DD7" w:rsidRPr="009C0656" w:rsidRDefault="00E77846" w:rsidP="009C0656">
      <w:pPr>
        <w:spacing w:line="360" w:lineRule="auto"/>
        <w:jc w:val="both"/>
      </w:pPr>
      <w:r w:rsidRPr="009C0656">
        <w:t>Several ideological formations preceded the NOI, each commanding substantial followings among Black Americans without fully occupying the structural space described above. The NAACP and the Black Church pursued integrationist strategies that many found insufficient, while more militant or nationalist movements faced crises of organisational sustainability and institutional reach that the NOI would subsequently exploit.</w:t>
      </w:r>
    </w:p>
    <w:p w14:paraId="33FC6BB3" w14:textId="372578C2" w:rsidR="00CB5A41" w:rsidRPr="009C0656" w:rsidRDefault="00CC65AF" w:rsidP="009C0656">
      <w:pPr>
        <w:spacing w:line="360" w:lineRule="auto"/>
        <w:jc w:val="both"/>
      </w:pPr>
      <w:r w:rsidRPr="009C0656">
        <w:t>The most significant precursor was Garveyism. Marcus Garvey’s Universal Negro Improvement Association (UNIA) demonstrated that mass Black nationalist mobilisation was organisationally viable, while its combination of racial pride, Black-owned enterprises, and independent cultural institutions provided a template for collective Black autonomy. The UNIA’s collapse, accelerated by Garvey’s prosecution and deportation and compounded by internal factionalism, left a large constituency persuaded of Black nationalist ambition but without an institution through which to pursue it. The NOI entered this space with an organisational advantage where its religious form provided greater protection from the state scrutiny that had accompanied Garveyism’s overtly political character. It inherit</w:t>
      </w:r>
      <w:r w:rsidR="003C2CBB" w:rsidRPr="009C0656">
        <w:t>ed</w:t>
      </w:r>
      <w:r w:rsidRPr="009C0656">
        <w:t xml:space="preserve"> the nationalist ethos while reducing the institutional exposure associated with direct political mobilisation.</w:t>
      </w:r>
    </w:p>
    <w:p w14:paraId="7AE8E233" w14:textId="4D8F9C59" w:rsidR="00FC6276" w:rsidRPr="009C0656" w:rsidRDefault="00B41D81" w:rsidP="009C0656">
      <w:pPr>
        <w:spacing w:line="360" w:lineRule="auto"/>
        <w:jc w:val="both"/>
      </w:pPr>
      <w:r w:rsidRPr="009C0656">
        <w:t xml:space="preserve">The Moorish Science Temple of America (MST) provided a more proximate theological inheritance. Noble Drew Ali taught that African Americans were ancestrally Moors and </w:t>
      </w:r>
      <w:proofErr w:type="spellStart"/>
      <w:r w:rsidRPr="009C0656">
        <w:t>Asiatics</w:t>
      </w:r>
      <w:proofErr w:type="spellEnd"/>
      <w:r w:rsidRPr="009C0656">
        <w:t xml:space="preserve">, that Islam was their natural religion, and that the identity of ‘Negro’ had been imposed through legal and psychological processes. As Berg (2005, p. 691) notes, ‘the purpose of the mythical Moorish empire is clearly to connect African Americans with a proud heritage, thereby circumventing the then generally accepted picture of Africa.’ This recovery of an alternative ancestral identity anticipated the NOI’s own ontological reclamation programme, which extended the recovered identity into a theology of cosmic Black divinity. The reported presence of Fard </w:t>
      </w:r>
      <w:r w:rsidR="00D55EE1" w:rsidRPr="009C0656">
        <w:t>in</w:t>
      </w:r>
      <w:r w:rsidRPr="009C0656">
        <w:t xml:space="preserve"> MST circles before the NOI’s founding reinforces this genealogical proximity, while his claimed status as a reincarnation of Noble Drew Ali suggests an attempt to position the new movement as the MST’s successor (Clegg, 1997, pp. 20–21). Following Ali’s death in 1929, the MST fragmented, leaving a constituency receptive to an alternative Islamic-nationalist identity without stable institutional direction. The NOI consolidated these Moorish concepts within a more systematic and exclusionary theology, while its distribution of formal roles and offices provided an organisational structure that Sahib (1995 [1951], p. 15) identifies as effective in retaining members.</w:t>
      </w:r>
    </w:p>
    <w:p w14:paraId="533AAD45" w14:textId="3076113A" w:rsidR="00FC6276" w:rsidRPr="009C0656" w:rsidRDefault="00F5293A" w:rsidP="009C0656">
      <w:pPr>
        <w:spacing w:line="360" w:lineRule="auto"/>
        <w:jc w:val="both"/>
      </w:pPr>
      <w:r w:rsidRPr="009C0656">
        <w:lastRenderedPageBreak/>
        <w:t>The Ahmadiyya movement and the Islamic Mission of America contributed a further dimension to the NOI’s rhetorical inheritance. Founded in British India by Mirza Ghulam Ahmad, the Ahmadiyya sent missionaries to the United States during the 1920s and established a presence in Chicago and Detroit, with further mosques developing in Ohio and Pennsylvania (Howell, 2013). Its rhetoric linked Islam to anti-racism and political liberation, demonstrating how Islam could be presented as an alternative to white-dominated Christianity among Black Americans. The reported presence of Fard at Ahmadiyya mosques suggests direct acquaintance with this model (</w:t>
      </w:r>
      <w:proofErr w:type="spellStart"/>
      <w:r w:rsidRPr="009C0656">
        <w:t>Evanzz</w:t>
      </w:r>
      <w:proofErr w:type="spellEnd"/>
      <w:r w:rsidRPr="009C0656">
        <w:t>, 1999, p. 407). The Islamic Mission of America, founded in New York in 1930 by Sheikh Daoud and Mother Khadija Faisal, similarly developed an Islamic organisation oriented towards African Americans while retaining the universalist framework of Sunni Islam. These movements established Islam as a viable religious resource for Black Americans in Northern cities, while the NOI developed a more specifically racialised and exclusionary theology from related materials. It retained the association between Islam and liberation while subordinating universalist Islamic identity to a racialised diagnosis of American society.</w:t>
      </w:r>
    </w:p>
    <w:p w14:paraId="0D161BE4" w14:textId="5612F460" w:rsidR="00FC6276" w:rsidRPr="009C0656" w:rsidRDefault="00E61131" w:rsidP="009C0656">
      <w:pPr>
        <w:spacing w:line="360" w:lineRule="auto"/>
        <w:jc w:val="both"/>
      </w:pPr>
      <w:r w:rsidRPr="009C0656">
        <w:t xml:space="preserve">The breadth of these influences is reflected in Morrow’s (2025, p. 32) account of Fard’s inspirations, which includes ‘Christianity, Judaism, the Moorish Science Temple of America, the Ahmadiyya, the Yezidis, Seveners, Twelvers, </w:t>
      </w:r>
      <w:proofErr w:type="spellStart"/>
      <w:r w:rsidRPr="009C0656">
        <w:t>Ghulat</w:t>
      </w:r>
      <w:proofErr w:type="spellEnd"/>
      <w:r w:rsidRPr="009C0656">
        <w:t xml:space="preserve">, Druze, Babis, and the Bahai’, alongside ‘doctrines from the Black Hebrews, Marcus Garvey, Rastafarianism, </w:t>
      </w:r>
      <w:proofErr w:type="spellStart"/>
      <w:r w:rsidRPr="009C0656">
        <w:t>Theosophism</w:t>
      </w:r>
      <w:proofErr w:type="spellEnd"/>
      <w:r w:rsidRPr="009C0656">
        <w:t xml:space="preserve">, Gnosticism, Freemasonry, apocalyptic Baptism, and the Church of Latter-Day Saints.’ The </w:t>
      </w:r>
      <w:r w:rsidR="009211E7" w:rsidRPr="009C0656">
        <w:t>value</w:t>
      </w:r>
      <w:r w:rsidRPr="009C0656">
        <w:t xml:space="preserve"> of this eclectic inheritance lies in the selective appropriation of its constituent resources. Fard retained recognisable rhetorical and symbolic forms while redirecting them towards a specifically racialised cosmology. This process of conversion transformed inherited materials into components of a new ideological system, making selective retention the central mechanism through which the NOI synthesised.</w:t>
      </w:r>
      <w:r w:rsidR="005B4EBE" w:rsidRPr="009C0656">
        <w:t xml:space="preserve"> Fard’s life remains contested and almost entirely undocumented in his own words</w:t>
      </w:r>
      <w:r w:rsidR="009209C3" w:rsidRPr="009C0656">
        <w:t>; these possible influences indicate the range of materials available for appropriation within this religious milieu.</w:t>
      </w:r>
    </w:p>
    <w:p w14:paraId="58E08E72" w14:textId="098192B0" w:rsidR="00B05D12" w:rsidRPr="00B16E64" w:rsidRDefault="00143208" w:rsidP="00B16E64">
      <w:pPr>
        <w:spacing w:line="360" w:lineRule="auto"/>
        <w:jc w:val="both"/>
      </w:pPr>
      <w:r w:rsidRPr="009C0656">
        <w:t>A further resource came directly through the religious culture of the movement’s converts. The jeremiad, the interpretation of Exodus as a narrative of Black bondage and deliverance, and direct prophetic address to a wayward people had long structured Black Protestant preaching and supplied migrants with a theological narrative in which the North could figure as a promised land (Lemann, 2011). Fard and Elijah</w:t>
      </w:r>
      <w:r w:rsidR="00804E56" w:rsidRPr="009C0656">
        <w:t xml:space="preserve"> Muhammad</w:t>
      </w:r>
      <w:r w:rsidRPr="009C0656">
        <w:t xml:space="preserve"> appropriated this rhetorical structure while assigning it new theological content. The </w:t>
      </w:r>
      <w:r w:rsidRPr="009C0656">
        <w:rPr>
          <w:i/>
          <w:iCs/>
        </w:rPr>
        <w:t>Final Call to Islam</w:t>
      </w:r>
      <w:r w:rsidRPr="009C0656">
        <w:t>’s (</w:t>
      </w:r>
      <w:r w:rsidRPr="009C0656">
        <w:rPr>
          <w:i/>
          <w:iCs/>
        </w:rPr>
        <w:t>FCTI</w:t>
      </w:r>
      <w:r w:rsidRPr="009C0656">
        <w:t>) recurring formula, ‘O our People! Accept the divine Caller,’ reproduces the cadence of prophetic address to an errant congregation, while Elijah</w:t>
      </w:r>
      <w:r w:rsidR="00D92A51" w:rsidRPr="009C0656">
        <w:t xml:space="preserve"> Muhammad</w:t>
      </w:r>
      <w:r w:rsidRPr="009C0656">
        <w:t xml:space="preserve">’s </w:t>
      </w:r>
      <w:r w:rsidR="00550A4A" w:rsidRPr="009C0656">
        <w:t xml:space="preserve">(1934a) </w:t>
      </w:r>
      <w:r w:rsidRPr="009C0656">
        <w:t xml:space="preserve">biblical exegesis draws upon interpretive practices that Black Protestant preaching had established for reading scripture against contemporary political conditions. The NOI’s denunciation of Christianity as ‘the white man’s religion’ and identification of Islam as ‘the Black man’s religion’ operated through rhetorical forms already familiar to its audience. This inherited infrastructure </w:t>
      </w:r>
      <w:r w:rsidRPr="009C0656">
        <w:lastRenderedPageBreak/>
        <w:t xml:space="preserve">helped make the NOI’s message legible as scripturally authoritative to migrants formed </w:t>
      </w:r>
      <w:r w:rsidR="00E4004C" w:rsidRPr="009C0656">
        <w:t>in</w:t>
      </w:r>
      <w:r w:rsidRPr="009C0656">
        <w:t xml:space="preserve"> the Black Church (Ali, 1934).</w:t>
      </w:r>
    </w:p>
    <w:p w14:paraId="64095FF9" w14:textId="4032E00B" w:rsidR="006C4B70" w:rsidRPr="009C0656" w:rsidRDefault="0031095F" w:rsidP="009C0656">
      <w:pPr>
        <w:pStyle w:val="TNRHeading3"/>
        <w:spacing w:line="360" w:lineRule="auto"/>
        <w:jc w:val="both"/>
        <w:rPr>
          <w:color w:val="auto"/>
        </w:rPr>
      </w:pPr>
      <w:r w:rsidRPr="009C0656">
        <w:rPr>
          <w:color w:val="auto"/>
        </w:rPr>
        <w:t>Religious Organisation as Structural Protection</w:t>
      </w:r>
    </w:p>
    <w:p w14:paraId="549ABF69" w14:textId="6AF096C5" w:rsidR="008703AA" w:rsidRPr="009C0656" w:rsidRDefault="009046A4" w:rsidP="009C0656">
      <w:pPr>
        <w:spacing w:line="360" w:lineRule="auto"/>
        <w:jc w:val="both"/>
      </w:pPr>
      <w:r w:rsidRPr="009C0656">
        <w:t xml:space="preserve">The political landscape of the 1930s rendered overt Black nationalist organising acutely vulnerable to state repression. Movements that presented themselves as explicitly political organisations offered the state a legible target, susceptible to the full </w:t>
      </w:r>
      <w:r w:rsidR="006E6811" w:rsidRPr="009C0656">
        <w:t>mechanism</w:t>
      </w:r>
      <w:r w:rsidRPr="009C0656">
        <w:t xml:space="preserve"> of federal and local law enforcement.</w:t>
      </w:r>
    </w:p>
    <w:p w14:paraId="153BEC7B" w14:textId="35508317" w:rsidR="00DA4BAE" w:rsidRPr="009C0656" w:rsidRDefault="006B60F2" w:rsidP="009C0656">
      <w:pPr>
        <w:tabs>
          <w:tab w:val="left" w:pos="1377"/>
        </w:tabs>
        <w:spacing w:line="360" w:lineRule="auto"/>
        <w:jc w:val="both"/>
      </w:pPr>
      <w:r w:rsidRPr="009C0656">
        <w:t xml:space="preserve">Religious organisation offered a different institutional </w:t>
      </w:r>
      <w:r w:rsidR="004228CA" w:rsidRPr="009C0656">
        <w:t>framework</w:t>
      </w:r>
      <w:r w:rsidRPr="009C0656">
        <w:t xml:space="preserve"> whose ambiguous status complicated state responses. Unlike explicitly political organisations, religious movements could not always be addressed through existing frameworks for monitoring political dissent, particularly when officials disagreed about whether such groups should be understood primarily as religious or political formations.</w:t>
      </w:r>
      <w:r w:rsidR="00DA4BAE" w:rsidRPr="009C0656">
        <w:t xml:space="preserve"> The First Amendment provided a constitutional basis for claims to free exercise, but during much of the early and mid-twentieth century its doctrinal force, particularly at state level, was limited compared to its later expansion. As a result,</w:t>
      </w:r>
      <w:r w:rsidR="00CA5E5E" w:rsidRPr="009C0656">
        <w:rPr>
          <w:rFonts w:ascii="Times New Roman" w:eastAsia="Times New Roman" w:hAnsi="Times New Roman" w:cs="Times New Roman"/>
          <w:kern w:val="0"/>
          <w:sz w:val="24"/>
          <w:lang w:eastAsia="en-GB"/>
          <w14:ligatures w14:val="none"/>
        </w:rPr>
        <w:t xml:space="preserve"> </w:t>
      </w:r>
      <w:r w:rsidR="00CA5E5E" w:rsidRPr="009C0656">
        <w:t>religious claims complicated state intervention. They did not, however, eliminate the state</w:t>
      </w:r>
      <w:r w:rsidR="006C1B80" w:rsidRPr="009C0656">
        <w:t>’</w:t>
      </w:r>
      <w:r w:rsidR="00CA5E5E" w:rsidRPr="009C0656">
        <w:t xml:space="preserve">s capacity to act. </w:t>
      </w:r>
      <w:r w:rsidR="00DA4BAE" w:rsidRPr="009C0656">
        <w:t>Recruitment conducted through religious instruction, communal gathering, proselytisation, and conversion often occupied forms of association that were harder to regulate directly than explicitly political organising, particularly where authorities were uncertain how to classify them. Smith (1996, p. 21) notes that the risks associated with overt political protest made religious framing a more viable route for sustained collective organisation in hostile environments.</w:t>
      </w:r>
    </w:p>
    <w:p w14:paraId="380CA83D" w14:textId="5248112B" w:rsidR="003E79DF" w:rsidRPr="009C0656" w:rsidRDefault="00F14358" w:rsidP="009C0656">
      <w:pPr>
        <w:tabs>
          <w:tab w:val="left" w:pos="1377"/>
        </w:tabs>
        <w:spacing w:line="360" w:lineRule="auto"/>
        <w:jc w:val="both"/>
      </w:pPr>
      <w:r w:rsidRPr="009C0656">
        <w:t>This relative protection largely depended on shifting institutional judg</w:t>
      </w:r>
      <w:r w:rsidR="008167E4" w:rsidRPr="009C0656">
        <w:t>e</w:t>
      </w:r>
      <w:r w:rsidRPr="009C0656">
        <w:t xml:space="preserve">ments about what counted as religion. Courts and administrators relied on assessments of sincerity and inherited assumptions about legitimate religious practice when making such determinations. </w:t>
      </w:r>
      <w:r w:rsidR="00CE112F" w:rsidRPr="009C0656">
        <w:t xml:space="preserve">Judicial reluctance to adjudicate the truth of religious doctrine, articulated in </w:t>
      </w:r>
      <w:r w:rsidR="00CE112F" w:rsidRPr="009C0656">
        <w:rPr>
          <w:i/>
          <w:iCs/>
        </w:rPr>
        <w:t>United States v. Ballard</w:t>
      </w:r>
      <w:r w:rsidR="00CE112F" w:rsidRPr="009C0656">
        <w:t xml:space="preserve"> (1944), did not eliminate administrative discretion over which groups were treated as legitimate religious bodies.</w:t>
      </w:r>
      <w:r w:rsidR="003E79DF" w:rsidRPr="009C0656">
        <w:t xml:space="preserve"> Unorthodox movements were more likely to be tolerated where they did not appear to breach criminal law or present immediate security concerns, but beyond those thresholds there remained considerable discretion in how they were categorised and managed (Jones Jr, 1978). In practice, protection was contingent and reversible. It could be extended or withdrawn</w:t>
      </w:r>
      <w:r w:rsidR="00944C64" w:rsidRPr="009C0656">
        <w:t xml:space="preserve">, typically </w:t>
      </w:r>
      <w:r w:rsidR="003E79DF" w:rsidRPr="009C0656">
        <w:t>through reclassification.</w:t>
      </w:r>
    </w:p>
    <w:p w14:paraId="4375A21A" w14:textId="07291BAD" w:rsidR="00FE46CC" w:rsidRPr="009C0656" w:rsidRDefault="00FE46CC" w:rsidP="009C0656">
      <w:pPr>
        <w:tabs>
          <w:tab w:val="left" w:pos="1377"/>
        </w:tabs>
        <w:spacing w:line="360" w:lineRule="auto"/>
        <w:jc w:val="both"/>
      </w:pPr>
      <w:r w:rsidRPr="009C0656">
        <w:t xml:space="preserve">For the </w:t>
      </w:r>
      <w:r w:rsidR="00523B1E" w:rsidRPr="009C0656">
        <w:t>NOI,</w:t>
      </w:r>
      <w:r w:rsidRPr="009C0656">
        <w:t xml:space="preserve"> </w:t>
      </w:r>
      <w:r w:rsidR="00F55936" w:rsidRPr="009C0656">
        <w:t xml:space="preserve">this produced a condition of persistent uncertainty. In some settings it was treated as a religious organisation, while in others it was approached through the lens of security risk or subversive association. </w:t>
      </w:r>
      <w:r w:rsidR="00E2414A" w:rsidRPr="009C0656">
        <w:t>This inconsistency had concrete consequences in carceral institutions during the 1940s, particularly when draft evasion convictions placed Elijah Muhammad and numerous followers into federal prisons</w:t>
      </w:r>
      <w:r w:rsidR="00D03D2A" w:rsidRPr="009C0656">
        <w:t xml:space="preserve"> (Clegg, 1997)</w:t>
      </w:r>
      <w:r w:rsidR="00E2414A" w:rsidRPr="009C0656">
        <w:t xml:space="preserve">. </w:t>
      </w:r>
      <w:r w:rsidR="00E4004C" w:rsidRPr="009C0656">
        <w:t>Inside</w:t>
      </w:r>
      <w:r w:rsidR="00E2414A" w:rsidRPr="009C0656">
        <w:t xml:space="preserve"> these facilities, prison officials frequently exercised broad, unchecked discretion over access to religious literature, collective worship, correspondence, and contact </w:t>
      </w:r>
      <w:r w:rsidR="00E2414A" w:rsidRPr="009C0656">
        <w:lastRenderedPageBreak/>
        <w:t xml:space="preserve">with religious representatives. </w:t>
      </w:r>
      <w:r w:rsidR="0068508D" w:rsidRPr="009C0656">
        <w:t xml:space="preserve">Such </w:t>
      </w:r>
      <w:r w:rsidR="00E2414A" w:rsidRPr="009C0656">
        <w:t xml:space="preserve">hostility </w:t>
      </w:r>
      <w:r w:rsidR="00DF36F2" w:rsidRPr="009C0656">
        <w:t xml:space="preserve">intensified </w:t>
      </w:r>
      <w:r w:rsidR="00E2414A" w:rsidRPr="009C0656">
        <w:t xml:space="preserve">further in </w:t>
      </w:r>
      <w:r w:rsidR="00DF36F2" w:rsidRPr="009C0656">
        <w:t xml:space="preserve">the </w:t>
      </w:r>
      <w:r w:rsidR="000673A6" w:rsidRPr="009C0656">
        <w:t>mid</w:t>
      </w:r>
      <w:r w:rsidR="00DF36F2" w:rsidRPr="009C0656">
        <w:t>-</w:t>
      </w:r>
      <w:r w:rsidR="000673A6" w:rsidRPr="009C0656">
        <w:t>to</w:t>
      </w:r>
      <w:r w:rsidR="00DF36F2" w:rsidRPr="009C0656">
        <w:t>-</w:t>
      </w:r>
      <w:r w:rsidR="000673A6" w:rsidRPr="009C0656">
        <w:t>late 1950s</w:t>
      </w:r>
      <w:r w:rsidR="00E2414A" w:rsidRPr="009C0656">
        <w:t xml:space="preserve">, when the systematic expansion of the movement </w:t>
      </w:r>
      <w:r w:rsidR="00E4004C" w:rsidRPr="009C0656">
        <w:t>in</w:t>
      </w:r>
      <w:r w:rsidR="00E2414A" w:rsidRPr="009C0656">
        <w:t xml:space="preserve"> state penitentiaries provoked more formalised modes of carceral suppression</w:t>
      </w:r>
      <w:r w:rsidR="000673A6" w:rsidRPr="009C0656">
        <w:t xml:space="preserve"> (Losier</w:t>
      </w:r>
      <w:r w:rsidR="00DA402D" w:rsidRPr="009C0656">
        <w:t>,</w:t>
      </w:r>
      <w:r w:rsidR="000673A6" w:rsidRPr="009C0656">
        <w:t xml:space="preserve"> 2013)</w:t>
      </w:r>
      <w:r w:rsidR="00DA5AC7" w:rsidRPr="009C0656">
        <w:t>.</w:t>
      </w:r>
      <w:r w:rsidRPr="009C0656">
        <w:t xml:space="preserve"> Government actors and institutional administrators exercised significant discretion in determining whether particular forms of belief and practice were to be treated as religion or as conduct falling outside protected categories. Subsequent legal developments clarified limits on this discretion, particularly around the sincerity of belief</w:t>
      </w:r>
      <w:r w:rsidR="00BF0435" w:rsidRPr="009C0656">
        <w:t>, to be discussed in Period 2</w:t>
      </w:r>
      <w:r w:rsidRPr="009C0656">
        <w:t>.</w:t>
      </w:r>
    </w:p>
    <w:p w14:paraId="329AD998" w14:textId="2684D9B9" w:rsidR="008610EB" w:rsidRPr="009C0656" w:rsidRDefault="00674FDC" w:rsidP="009C0656">
      <w:pPr>
        <w:tabs>
          <w:tab w:val="left" w:pos="1377"/>
        </w:tabs>
        <w:spacing w:line="360" w:lineRule="auto"/>
        <w:jc w:val="both"/>
      </w:pPr>
      <w:r w:rsidRPr="009C0656">
        <w:t>The NOI</w:t>
      </w:r>
      <w:r w:rsidR="006C1B80" w:rsidRPr="009C0656">
        <w:t>’</w:t>
      </w:r>
      <w:r w:rsidRPr="009C0656">
        <w:t xml:space="preserve">s religious framing </w:t>
      </w:r>
      <w:r w:rsidR="00D51F12" w:rsidRPr="009C0656">
        <w:t xml:space="preserve">struggled to </w:t>
      </w:r>
      <w:r w:rsidRPr="009C0656">
        <w:t xml:space="preserve">immunise </w:t>
      </w:r>
      <w:r w:rsidR="00D51F12" w:rsidRPr="009C0656">
        <w:t xml:space="preserve">itself </w:t>
      </w:r>
      <w:r w:rsidRPr="009C0656">
        <w:t xml:space="preserve">from state </w:t>
      </w:r>
      <w:r w:rsidR="00935056" w:rsidRPr="009C0656">
        <w:t>repression</w:t>
      </w:r>
      <w:r w:rsidR="00AA14A1" w:rsidRPr="009C0656">
        <w:t xml:space="preserve">. </w:t>
      </w:r>
      <w:r w:rsidR="00371179" w:rsidRPr="009C0656">
        <w:t>The movement remained subject to surveillance and infiltration by federal and local agencies, and its leadership was repeatedly targeted through criminal prosecution. Elijah Muhammad</w:t>
      </w:r>
      <w:r w:rsidR="006C1B80" w:rsidRPr="009C0656">
        <w:t>’</w:t>
      </w:r>
      <w:r w:rsidR="00371179" w:rsidRPr="009C0656">
        <w:t>s 1942 conviction under the Selective Training and Service Act illustrates how general criminal statutes could be applied in ways that intersected with broader concerns about loyalty and dissent. Religious organisation did not eliminate exposure to such mechanisms, but it could alter the forms they took. Direct suppression was often supplemented by indirect strategies, including informant networks and administrative restriction, particularly in institutional settings where classification decisions carried significant practical consequences.</w:t>
      </w:r>
    </w:p>
    <w:p w14:paraId="51F1ADB9" w14:textId="2410DCA1" w:rsidR="00B05D12" w:rsidRPr="009C0656" w:rsidRDefault="00D50133" w:rsidP="009C0656">
      <w:pPr>
        <w:spacing w:line="360" w:lineRule="auto"/>
        <w:jc w:val="both"/>
      </w:pPr>
      <w:r w:rsidRPr="009C0656">
        <w:t>The broader implication concerns the state</w:t>
      </w:r>
      <w:r w:rsidR="006C1B80" w:rsidRPr="009C0656">
        <w:t>’</w:t>
      </w:r>
      <w:r w:rsidRPr="009C0656">
        <w:t xml:space="preserve">s role in defining the boundary between religion and non-religion. Since recognition depended on administrative and legal interpretation, the NOI operated </w:t>
      </w:r>
      <w:r w:rsidR="00E4004C" w:rsidRPr="009C0656">
        <w:t xml:space="preserve">in </w:t>
      </w:r>
      <w:r w:rsidRPr="009C0656">
        <w:t xml:space="preserve">a shifting space of </w:t>
      </w:r>
      <w:r w:rsidR="00C61C8A" w:rsidRPr="009C0656">
        <w:t xml:space="preserve">institutional </w:t>
      </w:r>
      <w:r w:rsidRPr="009C0656">
        <w:t xml:space="preserve">ambiguity. Its religious form could provide partial protection in some contexts while </w:t>
      </w:r>
      <w:r w:rsidR="00E05E69" w:rsidRPr="009C0656">
        <w:t>also</w:t>
      </w:r>
      <w:r w:rsidRPr="009C0656">
        <w:t xml:space="preserve"> exposing it to reclassification in others. This instability shaped the conditions under which the movement developed institutional durability, and it forms a central part of the analysis in </w:t>
      </w:r>
      <w:r w:rsidR="00DF36F2" w:rsidRPr="009C0656">
        <w:t>‘State Surveillance and Frame Contest’</w:t>
      </w:r>
      <w:r w:rsidRPr="009C0656">
        <w:t>.</w:t>
      </w:r>
      <w:r w:rsidR="00B05D12" w:rsidRPr="009C0656">
        <w:br w:type="page"/>
      </w:r>
    </w:p>
    <w:p w14:paraId="028BAE16" w14:textId="28DEBA46" w:rsidR="00F30D1B" w:rsidRPr="009C0656" w:rsidRDefault="00F30D1B" w:rsidP="009C0656">
      <w:pPr>
        <w:pStyle w:val="TNRHeading2"/>
        <w:spacing w:line="360" w:lineRule="auto"/>
        <w:jc w:val="both"/>
        <w:rPr>
          <w:color w:val="auto"/>
        </w:rPr>
      </w:pPr>
      <w:r w:rsidRPr="009C0656">
        <w:rPr>
          <w:color w:val="auto"/>
        </w:rPr>
        <w:lastRenderedPageBreak/>
        <w:t xml:space="preserve">Textual Authority and </w:t>
      </w:r>
      <w:r w:rsidR="000800FB" w:rsidRPr="009C0656">
        <w:rPr>
          <w:color w:val="auto"/>
        </w:rPr>
        <w:t>Succession</w:t>
      </w:r>
    </w:p>
    <w:p w14:paraId="344BC983" w14:textId="02306CC0" w:rsidR="006C1685" w:rsidRPr="009C0656" w:rsidRDefault="00E4004C" w:rsidP="009C0656">
      <w:pPr>
        <w:spacing w:line="360" w:lineRule="auto"/>
        <w:jc w:val="both"/>
      </w:pPr>
      <w:r w:rsidRPr="009C0656">
        <w:t>In</w:t>
      </w:r>
      <w:r w:rsidR="00E634A6" w:rsidRPr="009C0656">
        <w:t xml:space="preserve"> this period’s corpus, the authority of several foundational texts remains contested, particularly regarding the extent to which they faithfully preserve Fard</w:t>
      </w:r>
      <w:r w:rsidR="00677B51" w:rsidRPr="009C0656">
        <w:t xml:space="preserve"> Muhammad</w:t>
      </w:r>
      <w:r w:rsidR="00E634A6" w:rsidRPr="009C0656">
        <w:t xml:space="preserve">’s teachings or incorporate subsequent modification by Elijah Muhammad. These debates later informed divisions within the movement, as some followers rejected Elijah’s leadership on the grounds that he had departed from Fard’s original message (Sahib, 1995 [1951], pp. 11–15; see also Morrow, 2019, pp. xiv, 115; </w:t>
      </w:r>
      <w:proofErr w:type="spellStart"/>
      <w:r w:rsidR="00E634A6" w:rsidRPr="009C0656">
        <w:t>Tinaz</w:t>
      </w:r>
      <w:proofErr w:type="spellEnd"/>
      <w:r w:rsidR="00E634A6" w:rsidRPr="009C0656">
        <w:t xml:space="preserve">, 1996, p. 195). There is broad agreement that the texts preserve at least some of Fard’s teachings, and substantial correspondence exists between them and contemporary accounts of his message. Specific doctrinal claims remain more uncertain, including whether Fard explicitly taught that he was Allah in the flesh or whether this formulation emerged subsequently. These uncertainties affect the evidential status of individual claims, while the texts’ recognised authority </w:t>
      </w:r>
      <w:r w:rsidRPr="009C0656">
        <w:t>across</w:t>
      </w:r>
      <w:r w:rsidR="00E634A6" w:rsidRPr="009C0656">
        <w:t xml:space="preserve"> the movement remains analytically significant. They functioned as accepted carriers of Fard’s teachings, regardless of the precise circumstances of their composition. Questions of authorship are considered when assessing particular sources.</w:t>
      </w:r>
      <w:r w:rsidR="006C1685" w:rsidRPr="009C0656">
        <w:t xml:space="preserve"> Since no clear evidence establishes that Elijah altered Fard’s substantive teaching, this chapter proceeds on the assumption that the corpus represents Fard’s authorship with minor Elijah-era editorial contribution, and the citations that follow should be read on that basis.</w:t>
      </w:r>
    </w:p>
    <w:p w14:paraId="3C5F3295" w14:textId="4703BF32" w:rsidR="00C169D5" w:rsidRPr="009C0656" w:rsidRDefault="00FD4B7A" w:rsidP="009C0656">
      <w:pPr>
        <w:spacing w:line="360" w:lineRule="auto"/>
        <w:jc w:val="both"/>
      </w:pPr>
      <w:r w:rsidRPr="009C0656">
        <w:t>The transition from Fard to Elijah cannot be reconstructed simply by comparing the framing practices of two leaders. The surviving evidence is limited, while the succession itself shaped which aspects of Fard’s framing remained accessible and authoritative. Elijah’s consolidation of authority involved interpreting Fard’s legacy and establishing which texts would preserve it. Much of the surviving knowledge of Fard derives either from external documentation or from materials transmitted under Elijah</w:t>
      </w:r>
      <w:r w:rsidR="00C42E36" w:rsidRPr="009C0656">
        <w:t xml:space="preserve"> Muhammad</w:t>
      </w:r>
      <w:r w:rsidRPr="009C0656">
        <w:t xml:space="preserve">’s leadership, including the contested claim that Fard was the physical embodiment of Allah rather than a prophetic or messianic figure. The early stabilisation of this textual archive is </w:t>
      </w:r>
      <w:r w:rsidR="00A1110E" w:rsidRPr="009C0656">
        <w:t xml:space="preserve">corroborated </w:t>
      </w:r>
      <w:r w:rsidRPr="009C0656">
        <w:t>by state surveillance</w:t>
      </w:r>
      <w:r w:rsidR="00655445" w:rsidRPr="009C0656">
        <w:t>, as</w:t>
      </w:r>
      <w:r w:rsidRPr="009C0656">
        <w:t xml:space="preserve"> the Federal Bureau of Investigation seized a complete copy of the Lessons during a 1942 raid on his residence</w:t>
      </w:r>
      <w:r w:rsidR="00655445" w:rsidRPr="009C0656">
        <w:t>, following Elijah’s arrest for draft evasion.</w:t>
      </w:r>
      <w:r w:rsidRPr="009C0656">
        <w:t xml:space="preserve"> </w:t>
      </w:r>
      <w:r w:rsidR="00D16A96" w:rsidRPr="009C0656">
        <w:t xml:space="preserve">As no first-hand account establishes when the Lessons were first fixed in writing, </w:t>
      </w:r>
      <w:r w:rsidR="00EF047C" w:rsidRPr="009C0656">
        <w:t>the seizure alone strictly confirms only that the core textual architecture existed in written form by 1942, the year of Elijah’s arrest. It is the correspondence of this material with police and media accounts of Fard’s teaching from the early 1930s that supports the further, retroductive inference that the Lessons predate Fard’s 1934 disappearance and were not substantially composed only after Elijah assumed leadership.  Textual and archival control formed part of the succession process, binding interpretive authority over Fard’s legacy to the consolidation of Elijah ’s leadership.</w:t>
      </w:r>
    </w:p>
    <w:p w14:paraId="49FF2C3B" w14:textId="35669AA9" w:rsidR="00C10907" w:rsidRPr="009C0656" w:rsidRDefault="00AA2464" w:rsidP="009C0656">
      <w:pPr>
        <w:spacing w:line="360" w:lineRule="auto"/>
        <w:jc w:val="both"/>
      </w:pPr>
      <w:r w:rsidRPr="009C0656">
        <w:t xml:space="preserve">The written materials circulated during this period also performed important organisational functions. They facilitated member registration and structured processes of education and initiation, while allowing teachings attributed to Fard and subsequently Elijah to retain authority across time and space. </w:t>
      </w:r>
      <w:r w:rsidRPr="009C0656">
        <w:lastRenderedPageBreak/>
        <w:t xml:space="preserve">The </w:t>
      </w:r>
      <w:r w:rsidRPr="009C0656">
        <w:rPr>
          <w:i/>
          <w:iCs/>
        </w:rPr>
        <w:t>Lessons</w:t>
      </w:r>
      <w:r w:rsidRPr="009C0656">
        <w:t xml:space="preserve">, collectively known as the </w:t>
      </w:r>
      <w:r w:rsidRPr="009C0656">
        <w:rPr>
          <w:i/>
          <w:iCs/>
        </w:rPr>
        <w:t>Supreme Wisdom Lessons</w:t>
      </w:r>
      <w:r w:rsidRPr="009C0656">
        <w:t xml:space="preserve"> (</w:t>
      </w:r>
      <w:r w:rsidRPr="009C0656">
        <w:rPr>
          <w:i/>
          <w:iCs/>
        </w:rPr>
        <w:t>SWL</w:t>
      </w:r>
      <w:r w:rsidRPr="009C0656">
        <w:t xml:space="preserve">), are </w:t>
      </w:r>
      <w:r w:rsidR="00005367" w:rsidRPr="009C0656">
        <w:t>especially</w:t>
      </w:r>
      <w:r w:rsidRPr="009C0656">
        <w:t xml:space="preserve"> important </w:t>
      </w:r>
      <w:r w:rsidR="00005367" w:rsidRPr="009C0656">
        <w:t>here</w:t>
      </w:r>
      <w:r w:rsidRPr="009C0656">
        <w:t xml:space="preserve">. Despite persistent claims concerning alternative editions, the text reaches contemporary archives exclusively through Elijah’s interpretive control (Knight, 2019). Their pedagogical function is evident in the initiation process, which required converts to memorise and recite the ten questions of the Student Enrolment before progressing to subsequent sections, including </w:t>
      </w:r>
      <w:r w:rsidR="0034014E" w:rsidRPr="009C0656">
        <w:t>‘</w:t>
      </w:r>
      <w:r w:rsidRPr="009C0656">
        <w:t>English Lesson C-1.</w:t>
      </w:r>
      <w:r w:rsidR="0034014E" w:rsidRPr="009C0656">
        <w:t>’</w:t>
      </w:r>
      <w:r w:rsidRPr="009C0656">
        <w:t xml:space="preserve"> The accompanying </w:t>
      </w:r>
      <w:r w:rsidRPr="009C0656">
        <w:rPr>
          <w:i/>
          <w:iCs/>
        </w:rPr>
        <w:t>Problem Book</w:t>
      </w:r>
      <w:r w:rsidRPr="009C0656">
        <w:t xml:space="preserve">, formally titled </w:t>
      </w:r>
      <w:r w:rsidRPr="009C0656">
        <w:rPr>
          <w:i/>
          <w:iCs/>
        </w:rPr>
        <w:t>Teaching for the Lost Found Nation of Islam in a Mathematical Way</w:t>
      </w:r>
      <w:r w:rsidRPr="009C0656">
        <w:t xml:space="preserve">, functioned as a restricted esoteric archive containing 34 mathematical word problems. Knight (ibid., p. 191) describes the </w:t>
      </w:r>
      <w:r w:rsidRPr="009C0656">
        <w:rPr>
          <w:i/>
          <w:iCs/>
        </w:rPr>
        <w:t>Problem Book</w:t>
      </w:r>
      <w:r w:rsidRPr="009C0656">
        <w:t xml:space="preserve"> as an esoteric text containing the teachings and secrets imparted by the Master. Its problems incorporated elements of the movement’s broader cosmology, including claims concerning inhabited planets and the physical consequences of social isolation, while explicitly linking structural reasoning with faith through the proposition that </w:t>
      </w:r>
      <w:r w:rsidR="00155DA8" w:rsidRPr="009C0656">
        <w:t>‘</w:t>
      </w:r>
      <w:r w:rsidRPr="009C0656">
        <w:t>Islam is mathematics.</w:t>
      </w:r>
      <w:r w:rsidR="00155DA8" w:rsidRPr="009C0656">
        <w:t>’</w:t>
      </w:r>
      <w:r w:rsidRPr="009C0656">
        <w:t xml:space="preserve"> These materials reproduced authority through their institutional use as well as through their doctrinal content.</w:t>
      </w:r>
    </w:p>
    <w:p w14:paraId="12354673" w14:textId="6A4266B9" w:rsidR="00C2475D" w:rsidRPr="009C0656" w:rsidRDefault="000920E5" w:rsidP="009C0656">
      <w:pPr>
        <w:spacing w:line="360" w:lineRule="auto"/>
        <w:jc w:val="both"/>
      </w:pPr>
      <w:r w:rsidRPr="009C0656">
        <w:t xml:space="preserve">The two surviving letters from Fard to Elijah, dated September and December 1933, occupy a distinctive position </w:t>
      </w:r>
      <w:r w:rsidR="00005367" w:rsidRPr="009C0656">
        <w:t>in</w:t>
      </w:r>
      <w:r w:rsidRPr="009C0656">
        <w:t xml:space="preserve"> the Period 1 corpus. Whereas the </w:t>
      </w:r>
      <w:r w:rsidRPr="009C0656">
        <w:rPr>
          <w:i/>
          <w:iCs/>
        </w:rPr>
        <w:t>SWL</w:t>
      </w:r>
      <w:r w:rsidRPr="009C0656">
        <w:t xml:space="preserve"> addressed the membership and the </w:t>
      </w:r>
      <w:r w:rsidRPr="009C0656">
        <w:rPr>
          <w:i/>
          <w:iCs/>
        </w:rPr>
        <w:t>FCTI</w:t>
      </w:r>
      <w:r w:rsidRPr="009C0656">
        <w:t xml:space="preserve"> a wider readership, the letters addressed Elijah</w:t>
      </w:r>
      <w:r w:rsidR="008D333B" w:rsidRPr="009C0656">
        <w:t xml:space="preserve"> </w:t>
      </w:r>
      <w:r w:rsidRPr="009C0656">
        <w:t>in his specific organisational role. Their content becomes especially significant when read against the problem Fard was managing</w:t>
      </w:r>
      <w:r w:rsidR="00E64BCE" w:rsidRPr="009C0656">
        <w:t>, namely</w:t>
      </w:r>
      <w:r w:rsidRPr="009C0656">
        <w:t xml:space="preserve"> the cultivation of a loyalty-tested successor under conditions of personal and institutional fragility. Fard’s legal vulnerability and previous arrests demonstrated the potential for state intervention to disrupt his ministry, making organisational continuity uncertain. The letters addressed this vulnerability through the cultivation of Elijah’s loyalty and organisational competence. They functioned as a curriculum for succession, transmitting practical knowledge required for leadership in Fard’s absence. </w:t>
      </w:r>
      <w:r w:rsidR="00DF36F2" w:rsidRPr="009C0656">
        <w:t>Their</w:t>
      </w:r>
      <w:r w:rsidR="004C639A" w:rsidRPr="009C0656">
        <w:t xml:space="preserve"> significance</w:t>
      </w:r>
      <w:r w:rsidR="00CA4849" w:rsidRPr="009C0656">
        <w:t xml:space="preserve"> is not limited to </w:t>
      </w:r>
      <w:r w:rsidRPr="009C0656">
        <w:t>their immediate instructions</w:t>
      </w:r>
      <w:r w:rsidR="00AE0297" w:rsidRPr="009C0656">
        <w:t>;</w:t>
      </w:r>
      <w:r w:rsidRPr="009C0656">
        <w:t xml:space="preserve"> the competencies they transmitted, the loyalty they cultivated, and the interpretive authority they </w:t>
      </w:r>
      <w:r w:rsidR="00AE0297" w:rsidRPr="009C0656">
        <w:t xml:space="preserve">also </w:t>
      </w:r>
      <w:r w:rsidRPr="009C0656">
        <w:t>modelled contributed to the organisational foundations of succession before Fard’s disappearance. The transition was facilitated by an organisational structure already being assembled through the correspondence itself.</w:t>
      </w:r>
    </w:p>
    <w:p w14:paraId="0FBDBB4A" w14:textId="77777777" w:rsidR="00E40A2D" w:rsidRPr="009C0656" w:rsidRDefault="00E40A2D" w:rsidP="009C0656">
      <w:pPr>
        <w:spacing w:line="360" w:lineRule="auto"/>
        <w:jc w:val="both"/>
      </w:pPr>
    </w:p>
    <w:p w14:paraId="624B6465" w14:textId="77777777" w:rsidR="00C5126B" w:rsidRPr="009C0656" w:rsidRDefault="00C5126B" w:rsidP="009C0656">
      <w:pPr>
        <w:spacing w:line="360" w:lineRule="auto"/>
        <w:jc w:val="both"/>
      </w:pPr>
    </w:p>
    <w:p w14:paraId="04404A70" w14:textId="77777777" w:rsidR="0057390D" w:rsidRPr="009C0656" w:rsidRDefault="0057390D" w:rsidP="009C0656">
      <w:pPr>
        <w:spacing w:line="360" w:lineRule="auto"/>
        <w:jc w:val="both"/>
      </w:pPr>
    </w:p>
    <w:p w14:paraId="5841C372" w14:textId="77777777" w:rsidR="0057390D" w:rsidRPr="009C0656" w:rsidRDefault="0057390D" w:rsidP="009C0656">
      <w:pPr>
        <w:spacing w:line="360" w:lineRule="auto"/>
        <w:jc w:val="both"/>
      </w:pPr>
    </w:p>
    <w:p w14:paraId="3E70A19C" w14:textId="77777777" w:rsidR="0057390D" w:rsidRPr="009C0656" w:rsidRDefault="0057390D" w:rsidP="009C0656">
      <w:pPr>
        <w:spacing w:line="360" w:lineRule="auto"/>
        <w:jc w:val="both"/>
      </w:pPr>
    </w:p>
    <w:p w14:paraId="27F7997A" w14:textId="77777777" w:rsidR="00A814FC" w:rsidRPr="009C0656" w:rsidRDefault="00A814FC" w:rsidP="009C0656">
      <w:pPr>
        <w:spacing w:line="360" w:lineRule="auto"/>
        <w:jc w:val="both"/>
        <w:rPr>
          <w:rFonts w:eastAsiaTheme="majorEastAsia" w:cstheme="majorBidi"/>
          <w:bCs/>
          <w:sz w:val="32"/>
          <w:szCs w:val="32"/>
        </w:rPr>
      </w:pPr>
      <w:r w:rsidRPr="009C0656">
        <w:br w:type="page"/>
      </w:r>
    </w:p>
    <w:p w14:paraId="4C7AB961" w14:textId="72C5C3DB" w:rsidR="00424FF8" w:rsidRPr="009C0656" w:rsidRDefault="00424FF8" w:rsidP="009C0656">
      <w:pPr>
        <w:pStyle w:val="TNRHeading2"/>
        <w:spacing w:line="360" w:lineRule="auto"/>
        <w:jc w:val="both"/>
        <w:rPr>
          <w:color w:val="auto"/>
        </w:rPr>
      </w:pPr>
      <w:r w:rsidRPr="009C0656">
        <w:rPr>
          <w:color w:val="auto"/>
        </w:rPr>
        <w:lastRenderedPageBreak/>
        <w:t>Diagnostic Framing</w:t>
      </w:r>
    </w:p>
    <w:p w14:paraId="77996293" w14:textId="165E5573" w:rsidR="009213B5" w:rsidRPr="009C0656" w:rsidRDefault="009213B5" w:rsidP="009C0656">
      <w:pPr>
        <w:spacing w:line="360" w:lineRule="auto"/>
        <w:jc w:val="both"/>
      </w:pPr>
      <w:r w:rsidRPr="009C0656">
        <w:t xml:space="preserve">Having situated the structural conditions of Period 1 within the domain of the real, the analysis now turns to the leadership mechanism through which Fard and Elijah Muhammad activated those conditions into observable frames. </w:t>
      </w:r>
      <w:r w:rsidR="0085149F" w:rsidRPr="009C0656">
        <w:t xml:space="preserve">Each subsection traces a discrete link in this causal chain, moving from a named structural condition, through a specific act of leadership diagnosis, to a documented textual trace in the corpus. </w:t>
      </w:r>
    </w:p>
    <w:p w14:paraId="2419D913" w14:textId="238B3576" w:rsidR="00742DAC" w:rsidRPr="009C0656" w:rsidRDefault="00EB33BD" w:rsidP="009C0656">
      <w:pPr>
        <w:pStyle w:val="TNRHeading3"/>
        <w:spacing w:line="360" w:lineRule="auto"/>
        <w:jc w:val="both"/>
        <w:rPr>
          <w:color w:val="auto"/>
        </w:rPr>
      </w:pPr>
      <w:r w:rsidRPr="009C0656">
        <w:rPr>
          <w:color w:val="auto"/>
        </w:rPr>
        <w:t>Naming the Enemy, Naming the Self</w:t>
      </w:r>
    </w:p>
    <w:p w14:paraId="1642C1BB" w14:textId="2C3EB729" w:rsidR="00BE4E3B" w:rsidRPr="009C0656" w:rsidRDefault="00E524FF" w:rsidP="009C0656">
      <w:pPr>
        <w:spacing w:line="360" w:lineRule="auto"/>
        <w:jc w:val="both"/>
      </w:pPr>
      <w:r w:rsidRPr="009C0656">
        <w:t xml:space="preserve">Nomination rhetoric is deeply theological while also functioning as a discursive response to the structural conditions that shaped Black American life after emancipation and remained materially present in the everyday environments of the NOI’s constituency during the 1930s and 1940s. Its resonance is closely related to the conditions it sought to explain. A racialised social taxonomy had assigned Black Americans a subordinate position </w:t>
      </w:r>
      <w:r w:rsidR="00987A2C" w:rsidRPr="009C0656">
        <w:t>in</w:t>
      </w:r>
      <w:r w:rsidRPr="009C0656">
        <w:t xml:space="preserve"> a hierarchy presented as natural and biologically permanent. The NOI’s nomination rhetoric directly challenged this naturalisation by presenting racial hierarchy as the outcome of identifiable historical processes. The white man was named as a manufactured deviation from an original human norm, while the Black man’s subordinate position was attributed to dispossession and suppression, causing Black Americans to ‘live other than themselves’ (Beynon, 1938, p. 901). Poverty, ignorance, and racial violence could be incorporated into a single account of an original historical injury.</w:t>
      </w:r>
    </w:p>
    <w:p w14:paraId="36005EC3" w14:textId="15C70727" w:rsidR="008E1BB2" w:rsidRPr="009C0656" w:rsidRDefault="00F37FB0" w:rsidP="009C0656">
      <w:pPr>
        <w:spacing w:line="360" w:lineRule="auto"/>
        <w:jc w:val="both"/>
      </w:pPr>
      <w:r w:rsidRPr="009C0656">
        <w:t>The racialised taxonomy that organised American social life in the early twentieth century was reproduced across legal, scientific, economic, and cultural institutions. Its foundations lay in the classificatory architecture of Atlantic slavery, which required racial hierarchy to be naturalised as a condition of its legitimacy. Fredrickson (1971) shows how nineteenth-century racial science transformed a historically contingent arrangement of power into a biological given, presenting Black subordination as the expression of an underlying natural order. Craniology, polygenism, and social Darwinism supplied this process with the authority of empirical inquiry, producing a taxonomy in which racial position was read from the body and understood as biologically inherited.</w:t>
      </w:r>
    </w:p>
    <w:p w14:paraId="3D5A90D1" w14:textId="17119E83" w:rsidR="00A344BA" w:rsidRPr="009C0656" w:rsidRDefault="00D42D31" w:rsidP="009C0656">
      <w:pPr>
        <w:spacing w:line="360" w:lineRule="auto"/>
        <w:jc w:val="both"/>
      </w:pPr>
      <w:r w:rsidRPr="009C0656">
        <w:t xml:space="preserve">The abolition of slavery generated alternative mechanisms for reproducing this hierarchy </w:t>
      </w:r>
      <w:r w:rsidR="00987A2C" w:rsidRPr="009C0656">
        <w:t>in</w:t>
      </w:r>
      <w:r w:rsidRPr="009C0656">
        <w:t xml:space="preserve"> the formal language of equality. Black Codes, convict leasing, Jim Crow legislation, and the partial exclusion of Black Americans from New Deal social provisions reproduced a classificatory logic in which Black bodies occupied a categorically subordinate social position requiring continual institutional reinforcement. The resulting structure shaped residential patterns, occupational opportunities, institutional access, and physical security. In the urban North of the 1930s, it was inscribed in the racial geography of Detroit and Chicago through labour-market segmentation and policing practices marked by disproportionate surveillance and violence. The Great Migration relocated Black Americans without </w:t>
      </w:r>
      <w:r w:rsidRPr="009C0656">
        <w:lastRenderedPageBreak/>
        <w:t>fundamentally altering their position within the racial taxonomy. The hierarchy was reconstituted in urban form.</w:t>
      </w:r>
    </w:p>
    <w:p w14:paraId="5D9B635A" w14:textId="6C361A74" w:rsidR="00C9267F" w:rsidRPr="009C0656" w:rsidRDefault="00E319C0" w:rsidP="009C0656">
      <w:pPr>
        <w:spacing w:line="360" w:lineRule="auto"/>
        <w:jc w:val="both"/>
      </w:pPr>
      <w:r w:rsidRPr="009C0656">
        <w:t xml:space="preserve">The cumulative effects of this racial order extended into the sphere of identity. The violent dislocation produced by slavery, combined with the systematic denigration of Blackness, weakened established sources of collective self-understanding. Such conditions increased the appeal of explanatory systems capable of restoring historical location and collective meaning. </w:t>
      </w:r>
      <w:r w:rsidR="006806AF" w:rsidRPr="009C0656">
        <w:t>In</w:t>
      </w:r>
      <w:r w:rsidRPr="009C0656">
        <w:t xml:space="preserve"> the NOI’s diagnosis, Christianity occupied an important position in this process. The movement portrayed the Black Church as an institution that had normalised subordination through identification with the moral and theological frameworks of the dominant racial order. </w:t>
      </w:r>
      <w:r w:rsidR="00C54034" w:rsidRPr="009C0656">
        <w:t xml:space="preserve">Within the movement’s own diagnosis, this </w:t>
      </w:r>
      <w:r w:rsidRPr="009C0656">
        <w:t xml:space="preserve">alienation </w:t>
      </w:r>
      <w:r w:rsidR="00C54034" w:rsidRPr="009C0656">
        <w:t xml:space="preserve">was presented as weakening </w:t>
      </w:r>
      <w:r w:rsidRPr="009C0656">
        <w:t>the conceptual resources available for recognising domination</w:t>
      </w:r>
      <w:r w:rsidR="00C34030" w:rsidRPr="009C0656">
        <w:t xml:space="preserve">, </w:t>
      </w:r>
      <w:r w:rsidRPr="009C0656">
        <w:t>facilitat</w:t>
      </w:r>
      <w:r w:rsidR="00C34030" w:rsidRPr="009C0656">
        <w:t xml:space="preserve">ing </w:t>
      </w:r>
      <w:r w:rsidRPr="009C0656">
        <w:t>its continuation. Contemporary accounts register the personal force of the alternative identity offered by the NOI. Beynon’s (1938, p. 896) informants recalled encountering the movement’s teachings and being ‘turned around completely.’</w:t>
      </w:r>
      <w:r w:rsidR="00C9267F" w:rsidRPr="009C0656">
        <w:t xml:space="preserve"> </w:t>
      </w:r>
    </w:p>
    <w:p w14:paraId="28B158F0" w14:textId="6AF5D6E1" w:rsidR="000A6546" w:rsidRPr="009C0656" w:rsidRDefault="00246B45" w:rsidP="009C0656">
      <w:pPr>
        <w:spacing w:line="360" w:lineRule="auto"/>
        <w:jc w:val="both"/>
      </w:pPr>
      <w:r w:rsidRPr="009C0656">
        <w:t xml:space="preserve">The diagnostic force of nomination rests on its interpretation of racial oppression as systematic and historically continuous. The distribution and persistence of racial domination provide the basis for identifying a specific source of harm, while references such as the figure of 379 years locate present conditions </w:t>
      </w:r>
      <w:r w:rsidR="006806AF" w:rsidRPr="009C0656">
        <w:t>in</w:t>
      </w:r>
      <w:r w:rsidRPr="009C0656">
        <w:t xml:space="preserve"> a longer history of colonial domination (F. Muhammad, 1934; Beynon, 1938, pp. 898, 900–901). Since these conditions were embedded </w:t>
      </w:r>
      <w:r w:rsidR="006806AF" w:rsidRPr="009C0656">
        <w:t>in</w:t>
      </w:r>
      <w:r w:rsidRPr="009C0656">
        <w:t xml:space="preserve"> everyday social life, they could acquire the appearance of normality. Established institutions could address their consequences while leaving their underlying structures insufficiently diagnosed. The NOI’s nomination rhetoric supplied a comprehensive causal framework for experiences that had previously remained dispersed across social, economic, and religious domains.</w:t>
      </w:r>
    </w:p>
    <w:p w14:paraId="427F4F75" w14:textId="53ADFF76" w:rsidR="005568FA" w:rsidRPr="009C0656" w:rsidRDefault="001D5E88" w:rsidP="009C0656">
      <w:pPr>
        <w:spacing w:line="360" w:lineRule="auto"/>
        <w:jc w:val="both"/>
      </w:pPr>
      <w:r w:rsidRPr="009C0656">
        <w:t>The biological character of the prevailing racial taxonomy also shaped the form of the NOI’s response. A hierarchy represented as natural and permanent constrained the range of political futures that could be imagined. The movement responded by reworking the same assumptions about inherent racial difference through which hierarchy had been justified. The Original Man was Black, while the white man was presented as a later creation. Nature itself became the basis for an alternative account of racial origins that placed Black people at its centre. The rhetorical force of this formulation derived partly from its familiarity</w:t>
      </w:r>
      <w:r w:rsidR="004752FE" w:rsidRPr="009C0656">
        <w:t>, in that</w:t>
      </w:r>
      <w:r w:rsidRPr="009C0656">
        <w:t xml:space="preserve"> racial identity remained connected to ideas of biological essence</w:t>
      </w:r>
      <w:r w:rsidR="00183E90" w:rsidRPr="009C0656">
        <w:t xml:space="preserve"> </w:t>
      </w:r>
      <w:r w:rsidRPr="009C0656">
        <w:t xml:space="preserve">while the distribution of value </w:t>
      </w:r>
      <w:r w:rsidR="00176FC9" w:rsidRPr="009C0656">
        <w:t>in</w:t>
      </w:r>
      <w:r w:rsidRPr="009C0656">
        <w:t xml:space="preserve"> the classificatory system was reversed.</w:t>
      </w:r>
    </w:p>
    <w:p w14:paraId="2FD31729" w14:textId="3E841BD2" w:rsidR="000A689F" w:rsidRPr="009C0656" w:rsidRDefault="00D91C23" w:rsidP="009C0656">
      <w:pPr>
        <w:spacing w:line="360" w:lineRule="auto"/>
        <w:jc w:val="both"/>
      </w:pPr>
      <w:r w:rsidRPr="009C0656">
        <w:t xml:space="preserve">The pseudo-scientific theme of the movement’s diagnosis was central to this operation. Claims concerning six ounces of grafted brain, reduced physical capacity, and a six-hundred-year process of genetic manipulation were presented as factual propositions within the movement’s explanatory framework (F. Muhammad, 1934). Measurements, biological characteristics, and historical timescales reproduced forms of reasoning familiar from contemporary scientific and racial discourse. Scientific </w:t>
      </w:r>
      <w:r w:rsidRPr="009C0656">
        <w:lastRenderedPageBreak/>
        <w:t>authority was redirected towards an account of Black primacy and white derivation, allowing the movement to present its cosmology as a corrected account of racial reality.</w:t>
      </w:r>
    </w:p>
    <w:p w14:paraId="430CE285" w14:textId="1C0478E7" w:rsidR="007A7A21" w:rsidRPr="009C0656" w:rsidRDefault="00F5717B" w:rsidP="009C0656">
      <w:pPr>
        <w:spacing w:line="360" w:lineRule="auto"/>
        <w:jc w:val="both"/>
      </w:pPr>
      <w:r w:rsidRPr="009C0656">
        <w:t>The structural conditions outlined above provide the material foundation for the NOI’s nomination rhetoric. In the early decades of the movement, naming connected discursive practice directly to the structural problem being diagnosed. Across the corpus, nomination degrades the oppressor through iterative labelling while elevating the oppressed through the recovery and reassignment of a suppressed identity. These operations constitute a single classificatory process in which each category acquires meaning through its relation to the other.</w:t>
      </w:r>
    </w:p>
    <w:p w14:paraId="491C04C4" w14:textId="459EF233" w:rsidR="00412E10" w:rsidRPr="009C0656" w:rsidRDefault="00E33955" w:rsidP="009C0656">
      <w:pPr>
        <w:spacing w:line="360" w:lineRule="auto"/>
        <w:jc w:val="both"/>
      </w:pPr>
      <w:r w:rsidRPr="009C0656">
        <w:t xml:space="preserve">Within the NOI’s diagnostic frame, naming itself constitutes diagnosis. Calling the white man a devil identifies an ontological status </w:t>
      </w:r>
      <w:r w:rsidR="00176FC9" w:rsidRPr="009C0656">
        <w:t>in</w:t>
      </w:r>
      <w:r w:rsidRPr="009C0656">
        <w:t xml:space="preserve"> a historical and theological account of his origin. The white man is presented as constitutively unjust, having been grafted from the original human stock into a lesser and dangerous form through the intervention of Yacub. On one side of the War of Armageddon stands the white man, designated with increasing specificity across the foundational texts. Fard </w:t>
      </w:r>
      <w:r w:rsidR="00E36C4E" w:rsidRPr="009C0656">
        <w:t xml:space="preserve">Muhammad </w:t>
      </w:r>
      <w:r w:rsidRPr="009C0656">
        <w:t>(1930; 1934) identifies him as ‘Yacub’s grafted Devil — the Skunk of the planet Earth’ and declares, ‘You were grafted from the original black man.’ Elijah Muhammad (1934a) contemporises these indictments through phrases such as ‘damnable white Christians’ and ‘white (devil) lynchers.’</w:t>
      </w:r>
    </w:p>
    <w:p w14:paraId="4386A5A3" w14:textId="6C8213FA" w:rsidR="00BC10BF" w:rsidRPr="009C0656" w:rsidRDefault="009B5E1D" w:rsidP="009C0656">
      <w:pPr>
        <w:spacing w:line="360" w:lineRule="auto"/>
        <w:jc w:val="both"/>
      </w:pPr>
      <w:r w:rsidRPr="009C0656">
        <w:t>The Devil-as-Origin frame provides the movement’s causal explanation for white domination. The ‘Caucasian’ is presented as an artificially produced population created by Yacub through selective breeding, termed ‘Birth Control,’ on the island of Pelan (F. Muhammad, 1934). White rule acquires a defined origin and a predetermined endpoint. Fard locates its emergence in Yacub’s rebellion against the original order. Yacub is described as a scientist who discovered magnetic attraction before seeking to create a nation capable of ruling others. His six-hundred-year breeding process transformed the original human type until ‘the germ became white, and weak, and was no more original’ (ibid.).</w:t>
      </w:r>
    </w:p>
    <w:p w14:paraId="32BFC012" w14:textId="39A93819" w:rsidR="00BC10BF" w:rsidRPr="009C0656" w:rsidRDefault="00491F2F" w:rsidP="009C0656">
      <w:pPr>
        <w:spacing w:line="360" w:lineRule="auto"/>
        <w:jc w:val="both"/>
      </w:pPr>
      <w:r w:rsidRPr="009C0656">
        <w:t>The frame also establishes a genealogy of responsibility. Yacub represents the originating source of racial corruption, while the Caucasian population embodies the continuation of that inherited condition. Domination becomes a civilisational disruption affecting the original human family, whose restoration requires the removal of the devil and recovery of the original order. Members incorporated this cosmology into their understanding of racial history, recording their belief that the devils were ‘surrounded and robbed completely by the Cave Man’ (ibid.; Beynon, 1938, pp. 896–897).</w:t>
      </w:r>
    </w:p>
    <w:p w14:paraId="52EF9DAE" w14:textId="54E16C6F" w:rsidR="00412E10" w:rsidRPr="009C0656" w:rsidRDefault="00547EB0" w:rsidP="009C0656">
      <w:pPr>
        <w:spacing w:line="360" w:lineRule="auto"/>
        <w:jc w:val="both"/>
      </w:pPr>
      <w:r w:rsidRPr="009C0656">
        <w:t xml:space="preserve">The rhetoric connects this cosmic diagnosis to lived historical experience. The labels attached to the white man accumulate biological derivation, moral corruption, theological hypocrisy, and physical violence </w:t>
      </w:r>
      <w:r w:rsidR="00176FC9" w:rsidRPr="009C0656">
        <w:t>in</w:t>
      </w:r>
      <w:r w:rsidRPr="009C0656">
        <w:t xml:space="preserve"> a single ontological account. What external observers could interpret as invective functions in the movement as revelation, disclosing what white civilisation was understood to have concealed through its control of knowledge. Fard makes the connection explicit, stating that ‘Christianity is the religion of the so-called white man’ and that ‘He is the devil’ (Bontemps and Conroy, 1945). The </w:t>
      </w:r>
      <w:r w:rsidRPr="009C0656">
        <w:lastRenderedPageBreak/>
        <w:t>predication attached to the category further characterises the white man as the producer of the Christian mystery God and the engineer of Black ignorance and illiteracy. The pseudo-scientific register reinforces this diagnosis through claims such as: ‘the devil has six ounces of brain; they are grafted brains. The devil’s physical power is less than one-third that of the original man’ (F. Muhammad, 1934</w:t>
      </w:r>
      <w:r w:rsidR="00540B8C" w:rsidRPr="009C0656">
        <w:t>, Lost-Found Muslim Lesson No. 2, Question 32</w:t>
      </w:r>
      <w:r w:rsidRPr="009C0656">
        <w:t>). The claim is presented as an empirical proposition, allowing the movement’s diagnosis to compete within a familiar register of rational authority.</w:t>
      </w:r>
    </w:p>
    <w:p w14:paraId="4D810B2E" w14:textId="58F549D3" w:rsidR="00412E10" w:rsidRPr="009C0656" w:rsidRDefault="00D96F66" w:rsidP="009C0656">
      <w:pPr>
        <w:spacing w:line="360" w:lineRule="auto"/>
        <w:jc w:val="both"/>
      </w:pPr>
      <w:r w:rsidRPr="009C0656">
        <w:t>The label ‘devil’ is pervasive throughout the Period 1 corpus and carries precise doctrinal significance. Fard</w:t>
      </w:r>
      <w:r w:rsidR="008D333B" w:rsidRPr="009C0656">
        <w:t xml:space="preserve"> </w:t>
      </w:r>
      <w:r w:rsidRPr="009C0656">
        <w:t>(1934</w:t>
      </w:r>
      <w:r w:rsidR="002F37D2" w:rsidRPr="009C0656">
        <w:t>, Lost-Found Muslim Lesson No. 1, Question 10</w:t>
      </w:r>
      <w:r w:rsidRPr="009C0656">
        <w:t xml:space="preserve">) states in catechetical form that the white man is ‘One Hundred Percent wicked.’ The movement’s lessons establish such classifications through repeated question-and-answer exercises that members were required to memorise as part of initiation. The answer to ‘Who is the </w:t>
      </w:r>
      <w:proofErr w:type="spellStart"/>
      <w:r w:rsidRPr="009C0656">
        <w:t>Colored</w:t>
      </w:r>
      <w:proofErr w:type="spellEnd"/>
      <w:r w:rsidRPr="009C0656">
        <w:t xml:space="preserve"> man?’ became a rehearsed component of membership. Repetition </w:t>
      </w:r>
      <w:r w:rsidR="00E37CB9" w:rsidRPr="009C0656">
        <w:t xml:space="preserve">was structured to </w:t>
      </w:r>
      <w:r w:rsidRPr="009C0656">
        <w:t>transform</w:t>
      </w:r>
      <w:r w:rsidR="00E37CB9" w:rsidRPr="009C0656">
        <w:t xml:space="preserve"> </w:t>
      </w:r>
      <w:r w:rsidRPr="009C0656">
        <w:t>nomination into an internalised interpretive framework through which subsequent experiences could be understood.</w:t>
      </w:r>
    </w:p>
    <w:p w14:paraId="6A96BDEC" w14:textId="555778A2" w:rsidR="00412E10" w:rsidRPr="009C0656" w:rsidRDefault="00C7344A" w:rsidP="009C0656">
      <w:pPr>
        <w:spacing w:line="360" w:lineRule="auto"/>
        <w:jc w:val="both"/>
      </w:pPr>
      <w:r w:rsidRPr="009C0656">
        <w:t xml:space="preserve">Finley’s (2017, p. 157) concept of theological phenomenology helps explain why the white-as-devil frame acquired this force. The designation was grounded in the racialised and terrorised existence of Black bodies under white supremacy. Anthony Muhammad’s (2021) reading of the devil designation as theodicy further demonstrates how the frame rendered structural evil intelligible by assigning suffering a coherent theological cause and agent. </w:t>
      </w:r>
      <w:r w:rsidR="00176FC9" w:rsidRPr="009C0656">
        <w:t>W</w:t>
      </w:r>
      <w:r w:rsidRPr="009C0656">
        <w:t xml:space="preserve">hites as devils represented the authors of a hellish Black existence, analogous to the devil’s relationship to Hell </w:t>
      </w:r>
      <w:r w:rsidR="00176FC9" w:rsidRPr="009C0656">
        <w:t>in</w:t>
      </w:r>
      <w:r w:rsidRPr="009C0656">
        <w:t xml:space="preserve"> Christian cosmology while being historically located in white supremacist institutions and legal structures. The devil was legible in the history of the plantation and in the mechanisms that sustained Black subordination.</w:t>
      </w:r>
    </w:p>
    <w:p w14:paraId="4DEE24E6" w14:textId="1A1149E1" w:rsidR="004F1775" w:rsidRPr="009C0656" w:rsidRDefault="004F1775" w:rsidP="009C0656">
      <w:pPr>
        <w:spacing w:line="360" w:lineRule="auto"/>
        <w:jc w:val="both"/>
      </w:pPr>
      <w:r w:rsidRPr="009C0656">
        <w:t xml:space="preserve">This formulation also transformed the theological problem of suffering. White Christian culture was stripped of the moral authority attached to the Christian theodicy reproduced by the Black Church. The mystery God who counselled endurance and promised eschatological justice was recast as an instrument of the devil, designed to prevent the oppressed from identifying their oppressor and acting against him. The central question became the source of suffering </w:t>
      </w:r>
      <w:r w:rsidR="00712130" w:rsidRPr="009C0656">
        <w:t>across</w:t>
      </w:r>
      <w:r w:rsidRPr="009C0656">
        <w:t xml:space="preserve"> the social world, </w:t>
      </w:r>
      <w:r w:rsidR="00C66F6C" w:rsidRPr="009C0656">
        <w:t xml:space="preserve">and </w:t>
      </w:r>
      <w:r w:rsidRPr="009C0656">
        <w:t>doctrinal instruction and repetition</w:t>
      </w:r>
      <w:r w:rsidR="00C66F6C" w:rsidRPr="009C0656">
        <w:t xml:space="preserve"> established the answer as</w:t>
      </w:r>
      <w:r w:rsidRPr="009C0656">
        <w:t xml:space="preserve"> the white man.</w:t>
      </w:r>
    </w:p>
    <w:p w14:paraId="3C100A6F" w14:textId="53413280" w:rsidR="006C253D" w:rsidRPr="009C0656" w:rsidRDefault="008663B1" w:rsidP="009C0656">
      <w:pPr>
        <w:spacing w:line="360" w:lineRule="auto"/>
        <w:jc w:val="both"/>
        <w:rPr>
          <w:b/>
          <w:bCs/>
        </w:rPr>
      </w:pPr>
      <w:r w:rsidRPr="009C0656">
        <w:t xml:space="preserve">On the other side stands the Black man, designated across the corpus through a corresponding process of elevation. The </w:t>
      </w:r>
      <w:r w:rsidRPr="009C0656">
        <w:rPr>
          <w:i/>
          <w:iCs/>
        </w:rPr>
        <w:t>SWL</w:t>
      </w:r>
      <w:r w:rsidRPr="009C0656">
        <w:t xml:space="preserve"> provide the foundational formulation: ‘The original man is the Asiatic Black man; the Maker; the Owner; the Cream of the planet Earth — Father of Civilization, God of the Universe’ (F. Muhammad, 1934</w:t>
      </w:r>
      <w:r w:rsidR="002F37D2" w:rsidRPr="009C0656">
        <w:t>, Student Enrolment</w:t>
      </w:r>
      <w:r w:rsidRPr="009C0656">
        <w:t xml:space="preserve">). The designation ‘Asiatic Black man’ situates Black Americans </w:t>
      </w:r>
      <w:r w:rsidR="00712130" w:rsidRPr="009C0656">
        <w:t>in</w:t>
      </w:r>
      <w:r w:rsidRPr="009C0656">
        <w:t xml:space="preserve"> a global non-white majority and assigns them a geographical and cultural origin beyond the American category of the enslaved. The Original Man is presented as the ontological foundation of humanity, from whom others descend and against whom the grafted man is defined. ‘God of the Universe’ establishes divinity as constitutive of Black identity, while ‘Father of Civilization’ </w:t>
      </w:r>
      <w:r w:rsidRPr="009C0656">
        <w:lastRenderedPageBreak/>
        <w:t xml:space="preserve">assigns Black people the status of origin and authorship </w:t>
      </w:r>
      <w:r w:rsidR="00712130" w:rsidRPr="009C0656">
        <w:t>in</w:t>
      </w:r>
      <w:r w:rsidRPr="009C0656">
        <w:t xml:space="preserve"> civilisational history. The Tribe of Shabazz, later mentioned, further grounds this identity in ancestral lineage, following the teaching that ‘the black men in North America are not Negroes, but members of the lost tribe of Shabazz, stolen by traders from the Holy City of Mecca 379 years ago’ (Beynon, 1938, p. 900).</w:t>
      </w:r>
    </w:p>
    <w:p w14:paraId="4E6D29C7" w14:textId="07FAF1D4" w:rsidR="006C253D" w:rsidRPr="009C0656" w:rsidRDefault="006A799B" w:rsidP="009C0656">
      <w:pPr>
        <w:spacing w:line="360" w:lineRule="auto"/>
        <w:jc w:val="both"/>
      </w:pPr>
      <w:r w:rsidRPr="009C0656">
        <w:t xml:space="preserve">These designations represent distinct doctrines while performing a common restorative function. Each recovers an identity that the diagnostic frame presents as concealed and suppressed through the deliberate production of ignorance. Beynon’s (ibid., p. 905) observations capture the effects among early members: ‘Through the Nation of Islam they have gained a new status and a new confidence in themselves. When they meet Caucasians, they rejoice in the knowledge that they themselves are superiors.’ From a sociological perspective, this transformation can be interpreted as psychological compensation. </w:t>
      </w:r>
      <w:r w:rsidR="00712130" w:rsidRPr="009C0656">
        <w:t>In</w:t>
      </w:r>
      <w:r w:rsidRPr="009C0656">
        <w:t xml:space="preserve"> the movement, it signifies recognition. The NOI consistently characterised its teachings as an awakening through which individuals encountered an identity presented as original and previously concealed.</w:t>
      </w:r>
      <w:r w:rsidR="000919A5" w:rsidRPr="009C0656">
        <w:t xml:space="preserve"> Within the framework, t</w:t>
      </w:r>
      <w:r w:rsidRPr="009C0656">
        <w:t xml:space="preserve">he unknowing Black man who encounters these designations is </w:t>
      </w:r>
      <w:r w:rsidR="000919A5" w:rsidRPr="009C0656">
        <w:t xml:space="preserve">presented as being </w:t>
      </w:r>
      <w:r w:rsidRPr="009C0656">
        <w:t>shown what he is understood to have always been.</w:t>
      </w:r>
    </w:p>
    <w:p w14:paraId="5E6DB7EE" w14:textId="3D24F444" w:rsidR="00D446E1" w:rsidRPr="009C0656" w:rsidRDefault="006E1645" w:rsidP="009C0656">
      <w:pPr>
        <w:spacing w:line="360" w:lineRule="auto"/>
        <w:jc w:val="both"/>
      </w:pPr>
      <w:r w:rsidRPr="009C0656">
        <w:t>The elevatory labels also possess a prescriptive force. They establish a standard against which present conduct is measured and define an identity to be embodied. Recognition creates an obligation to align conduct with the status revealed by the frame. This becomes visible in the NOI’s behavioural codes, dietary regulations, dress practices, and organisational disciplines, which extend nomination into everyday life. Eating as a Muslim, dressing as a Muslim, and conducting oneself according to FOI discipline enact the Original Man in practice. Nomination provides the identity, while disciplined conduct provides the means through which that identity is realised.</w:t>
      </w:r>
    </w:p>
    <w:p w14:paraId="006307D9" w14:textId="77777777" w:rsidR="00150E23" w:rsidRPr="009C0656" w:rsidRDefault="00150E23" w:rsidP="009C0656">
      <w:pPr>
        <w:spacing w:line="360" w:lineRule="auto"/>
        <w:jc w:val="both"/>
      </w:pPr>
      <w:r w:rsidRPr="009C0656">
        <w:t>The restorative and prescriptive dimensions of nomination locate the labels within the movement’s diagnostic-prognostic architecture. The designations establish a vision of Black existence grounded in the cosmic identity restored by the frame and provide individuals experiencing migration and economic hardship with a structured means of inhabiting that identity. Encounters with the figure identified as the source of oppression simultaneously confirm the reality of the devil and the status of the Original Man.</w:t>
      </w:r>
    </w:p>
    <w:p w14:paraId="7230BD03" w14:textId="495FF4E9" w:rsidR="00150E23" w:rsidRPr="009C0656" w:rsidRDefault="00150E23" w:rsidP="009C0656">
      <w:pPr>
        <w:spacing w:line="360" w:lineRule="auto"/>
        <w:jc w:val="both"/>
      </w:pPr>
      <w:r w:rsidRPr="009C0656">
        <w:t xml:space="preserve">The revelatory structure also contributes to the frame’s motivational force. Persuasion asks an audience to accept a proposition presented as unfamiliar, whereas revelation invites recognition of a truth presented as previously possessed but suppressed. For populations whose relationship to social identity had been fragmented by generations of racial domination, an account of origin, lineage, cosmological status, and historical experience could provide a powerful sense of completion. The NOI’s nomination rhetoric </w:t>
      </w:r>
      <w:r w:rsidR="00E34A52" w:rsidRPr="009C0656">
        <w:t xml:space="preserve">was constructed to restore </w:t>
      </w:r>
      <w:r w:rsidRPr="009C0656">
        <w:t xml:space="preserve">a sense of identity by situating individuals </w:t>
      </w:r>
      <w:r w:rsidR="007B5768" w:rsidRPr="009C0656">
        <w:t>in</w:t>
      </w:r>
      <w:r w:rsidRPr="009C0656">
        <w:t xml:space="preserve"> a coherent historical framework.</w:t>
      </w:r>
    </w:p>
    <w:p w14:paraId="158CC7C0" w14:textId="411C10BB" w:rsidR="00267A6E" w:rsidRPr="009C0656" w:rsidRDefault="00267A6E" w:rsidP="009C0656">
      <w:pPr>
        <w:spacing w:line="360" w:lineRule="auto"/>
        <w:jc w:val="both"/>
      </w:pPr>
      <w:r w:rsidRPr="009C0656">
        <w:t xml:space="preserve">Nomination also established interconnected binaries that were translated into organisational practices of boundary maintenance. Distinctions such as good and evil, God and Satan, righteous and devil, 5% </w:t>
      </w:r>
      <w:r w:rsidRPr="009C0656">
        <w:lastRenderedPageBreak/>
        <w:t>and 10%, original and grafted, and wisdom and foolishness were given institutional expression. Dress codes and dietary regulations incorporated these distinctions into bodily practice, while separatist education and restrictions on interracial contact extended them into social space. The FOI’s paramilitary discipline provided a visible organisational expression of the distinction between the awakened Black man and the hostile environment in which he was situated. These practices functioned as prognostic prescriptions for conduct under conditions understood as structurally immoral and as repeated performative confirmations of the diagnostic frame.</w:t>
      </w:r>
    </w:p>
    <w:p w14:paraId="321B5626" w14:textId="5FC4474B" w:rsidR="00505BB9" w:rsidRPr="009C0656" w:rsidRDefault="00267A6E" w:rsidP="009C0656">
      <w:pPr>
        <w:spacing w:line="360" w:lineRule="auto"/>
        <w:jc w:val="both"/>
      </w:pPr>
      <w:r w:rsidRPr="009C0656">
        <w:t>The movement’s nomination rhetoric also reversed the attributes assigned to Blackness within the prevailing racial order. Categories such as inferiority and criminality were displaced by a counter-classification that situated the Black man at the origin of humanity. Black identity was rendered primordial and divine. This represents a developed form of narrative inversion in which an inherited negative classification is replaced by a cosmological account of Black supremacy.</w:t>
      </w:r>
    </w:p>
    <w:p w14:paraId="6DF35D84" w14:textId="2DF40F5B" w:rsidR="0036226E" w:rsidRPr="009C0656" w:rsidRDefault="0036226E" w:rsidP="009C0656">
      <w:pPr>
        <w:spacing w:line="360" w:lineRule="auto"/>
        <w:jc w:val="both"/>
      </w:pPr>
      <w:r w:rsidRPr="009C0656">
        <w:t xml:space="preserve">The degradational naming of the white man and the elevation of the Black man operated as mutually constitutive classifications. ‘Devil’ acquired meaning through its opposition to ‘Original Man’, while Black divinity acquired definition through the designation of a corrupted racial other. The resulting taxonomy reversed the dominant racial order at the level of origin, value, and identity. Its resonance was facilitated by the spatial and social conditions of the post-Great Migration urban North. The relevant constituency consisted particularly of Black urban migrants concentrated in segregated and economically marginalised districts of cities such as Detroit and Chicago. Existing institutions often provided limited interpretive coherence for these conditions. NOI nomination </w:t>
      </w:r>
      <w:r w:rsidR="00A638EF" w:rsidRPr="009C0656">
        <w:t xml:space="preserve">was structured to </w:t>
      </w:r>
      <w:r w:rsidRPr="009C0656">
        <w:t>suppl</w:t>
      </w:r>
      <w:r w:rsidR="00A638EF" w:rsidRPr="009C0656">
        <w:t xml:space="preserve">y </w:t>
      </w:r>
      <w:r w:rsidRPr="009C0656">
        <w:t>conceptual order through renaming, incorporating experiences of dispossession into a structured account of historical cause and cosmic significance.</w:t>
      </w:r>
    </w:p>
    <w:p w14:paraId="2C579548" w14:textId="06C0A9FF" w:rsidR="0036226E" w:rsidRPr="009C0656" w:rsidRDefault="0036226E" w:rsidP="009C0656">
      <w:pPr>
        <w:spacing w:line="360" w:lineRule="auto"/>
        <w:jc w:val="both"/>
      </w:pPr>
      <w:r w:rsidRPr="009C0656">
        <w:t xml:space="preserve">The act of naming the oppressor </w:t>
      </w:r>
      <w:r w:rsidR="00A638EF" w:rsidRPr="009C0656">
        <w:t xml:space="preserve">helped to </w:t>
      </w:r>
      <w:r w:rsidRPr="009C0656">
        <w:t>alter</w:t>
      </w:r>
      <w:r w:rsidR="00A638EF" w:rsidRPr="009C0656">
        <w:t xml:space="preserve"> </w:t>
      </w:r>
      <w:r w:rsidRPr="009C0656">
        <w:t xml:space="preserve">the interpretive status of racial experience. Categories associated with whiteness were situated </w:t>
      </w:r>
      <w:r w:rsidR="007B5768" w:rsidRPr="009C0656">
        <w:t>in</w:t>
      </w:r>
      <w:r w:rsidRPr="009C0656">
        <w:t xml:space="preserve"> a historical account of their production and maintenance, allowing their apparent naturalness to become an object of scrutiny. The reconstruction of Black identity </w:t>
      </w:r>
      <w:r w:rsidR="00A638EF" w:rsidRPr="009C0656">
        <w:t>sought to draw</w:t>
      </w:r>
      <w:r w:rsidRPr="009C0656">
        <w:t xml:space="preserve"> dispersed historical experiences into a shared narrative of origin and meaning. Individuals could understand themselves through a framework that located Black existence prior to the categories imposed through racial domination.</w:t>
      </w:r>
    </w:p>
    <w:p w14:paraId="2315CFEA" w14:textId="3CD30FB4" w:rsidR="00742DAC" w:rsidRPr="00B16E64" w:rsidRDefault="0036226E" w:rsidP="00B16E64">
      <w:pPr>
        <w:spacing w:line="360" w:lineRule="auto"/>
        <w:jc w:val="both"/>
      </w:pPr>
      <w:r w:rsidRPr="009C0656">
        <w:t xml:space="preserve">These processes of dismantling and reconstruction formed part of the same reorganisation of racial meaning. Repeated nomination </w:t>
      </w:r>
      <w:r w:rsidR="00366477" w:rsidRPr="009C0656">
        <w:t>was designed to displace</w:t>
      </w:r>
      <w:r w:rsidRPr="009C0656">
        <w:t xml:space="preserve"> inherited meanings and stabilise new classifications through shared language, instruction, and practice. Familiar assumptions about social reality were disrupted as adherents acquired alternative ways of interpreting their position </w:t>
      </w:r>
      <w:r w:rsidR="007B5768" w:rsidRPr="009C0656">
        <w:t>in</w:t>
      </w:r>
      <w:r w:rsidRPr="009C0656">
        <w:t xml:space="preserve"> it. These changes were reinforced through routine forms of discipline and self-presentation, which embedded the new framework within everyday conduct. Nomination connected changes in language with changes in </w:t>
      </w:r>
      <w:r w:rsidRPr="009C0656">
        <w:lastRenderedPageBreak/>
        <w:t>lived identity, repositioning individuals in relation to the inherited structures through which they had previously been classified.</w:t>
      </w:r>
    </w:p>
    <w:p w14:paraId="1D864334" w14:textId="0AE7CD63" w:rsidR="00424FF8" w:rsidRPr="009C0656" w:rsidRDefault="00424FF8" w:rsidP="009C0656">
      <w:pPr>
        <w:pStyle w:val="TNRHeading3"/>
        <w:spacing w:line="360" w:lineRule="auto"/>
        <w:jc w:val="both"/>
        <w:rPr>
          <w:color w:val="auto"/>
        </w:rPr>
      </w:pPr>
      <w:r w:rsidRPr="009C0656">
        <w:rPr>
          <w:color w:val="auto"/>
        </w:rPr>
        <w:t>The Tripartite Stratification (85%/10%/5%)</w:t>
      </w:r>
      <w:r w:rsidR="000438C4" w:rsidRPr="009C0656">
        <w:rPr>
          <w:color w:val="auto"/>
        </w:rPr>
        <w:t xml:space="preserve"> </w:t>
      </w:r>
    </w:p>
    <w:p w14:paraId="5C7DB23B" w14:textId="099F8E65" w:rsidR="00CF49ED" w:rsidRPr="009C0656" w:rsidRDefault="007B5768" w:rsidP="009C0656">
      <w:pPr>
        <w:spacing w:line="360" w:lineRule="auto"/>
        <w:jc w:val="both"/>
      </w:pPr>
      <w:r w:rsidRPr="009C0656">
        <w:t>In</w:t>
      </w:r>
      <w:r w:rsidR="000741C5" w:rsidRPr="009C0656">
        <w:t xml:space="preserve"> the </w:t>
      </w:r>
      <w:r w:rsidR="000741C5" w:rsidRPr="009C0656">
        <w:rPr>
          <w:i/>
          <w:iCs/>
        </w:rPr>
        <w:t>SWL</w:t>
      </w:r>
      <w:r w:rsidR="000741C5" w:rsidRPr="009C0656">
        <w:t>, racial diagnosis is overlaid by a second stratified system that divides humanity according to its relationship to knowledge, power, and complicity. Designated by the population ratios of 85%, 10%, and 5%, this structure complicates a purely racial reading of the NOI’s diagnostic frame. Responsibility for oppression is distributed across the white devil and a Black intermediary class understood to collaborate in its reproduction, while the obligation to initiate liberation is assigned to a small group charged with awakening the wider population.</w:t>
      </w:r>
    </w:p>
    <w:p w14:paraId="2E8E58EA" w14:textId="59B515EF" w:rsidR="00016E3B" w:rsidRPr="009C0656" w:rsidRDefault="00887C01" w:rsidP="009C0656">
      <w:pPr>
        <w:spacing w:line="360" w:lineRule="auto"/>
        <w:jc w:val="both"/>
      </w:pPr>
      <w:r w:rsidRPr="009C0656">
        <w:t xml:space="preserve">This classification emerged </w:t>
      </w:r>
      <w:r w:rsidR="007B5768" w:rsidRPr="009C0656">
        <w:t>in</w:t>
      </w:r>
      <w:r w:rsidRPr="009C0656">
        <w:t xml:space="preserve"> a social environment marked by significant inequalities within Black America itself. White supremacy remained the overarching structure organising political exclusion and economic marginalisation, while the NOI also directed attention towards divisions </w:t>
      </w:r>
      <w:r w:rsidR="007B5768" w:rsidRPr="009C0656">
        <w:t>across</w:t>
      </w:r>
      <w:r w:rsidRPr="009C0656">
        <w:t xml:space="preserve"> the Black population. Ministers, civic leaders, established organisations, and other recognised representatives became objects of critique because they were understood to facilitate forms of accommodation that preserved existing arrangements. They occupied an intermediary position between white institutional power and the Black majority, channelling grievances into forms that existing institutions could absorb without producing structural disruption.</w:t>
      </w:r>
    </w:p>
    <w:p w14:paraId="7DA40155" w14:textId="1CEE5502" w:rsidR="00F45B1F" w:rsidRPr="009C0656" w:rsidRDefault="00801724" w:rsidP="009C0656">
      <w:pPr>
        <w:spacing w:line="360" w:lineRule="auto"/>
        <w:jc w:val="both"/>
      </w:pPr>
      <w:r w:rsidRPr="009C0656">
        <w:t xml:space="preserve">This orientation reflected longstanding debates within Black political thought over leadership, racial advancement, and integration into dominant institutions. The NOI recast these tensions through a moralised vocabulary centred on knowledge. The key question was who possessed knowledge of the true condition of Black people and how that knowledge was deployed. Oppression operated across racial boundaries and </w:t>
      </w:r>
      <w:r w:rsidR="000F0352" w:rsidRPr="009C0656">
        <w:t>across</w:t>
      </w:r>
      <w:r w:rsidRPr="009C0656">
        <w:t xml:space="preserve"> the Black community, where actors whose authority depended upon established institutions were presented as having an interest in preserving attachment to those institutions. The resulting diagnosis identified internal leadership and accommodation as mechanisms through which dependence was reproduced.</w:t>
      </w:r>
    </w:p>
    <w:p w14:paraId="0317FD63" w14:textId="39E3E6BC" w:rsidR="00F45B1F" w:rsidRPr="009C0656" w:rsidRDefault="00035C46" w:rsidP="009C0656">
      <w:pPr>
        <w:spacing w:line="360" w:lineRule="auto"/>
        <w:jc w:val="both"/>
      </w:pPr>
      <w:r w:rsidRPr="009C0656">
        <w:t xml:space="preserve">The post-Reconstruction settlement provided important historical conditions for this analysis. Du Bois (1994 [1903]) observed that the collapse of Reconstruction forced an emerging Black leadership class to navigate white institutional tolerance. The Black Church occupied a prominent position </w:t>
      </w:r>
      <w:r w:rsidR="000F0352" w:rsidRPr="009C0656">
        <w:t>in</w:t>
      </w:r>
      <w:r w:rsidRPr="009C0656">
        <w:t xml:space="preserve"> this accommodation, while twentieth-century organisations such as the NAACP and associated civic networks reproduced related forms of institutional engagement. These organisations largely served constituencies with greater educational, economic, or social privilege </w:t>
      </w:r>
      <w:r w:rsidR="000F0352" w:rsidRPr="009C0656">
        <w:t xml:space="preserve">across </w:t>
      </w:r>
      <w:r w:rsidRPr="009C0656">
        <w:t>Black communities and pursued strategies that depended to varying degrees upon cooperation from white institutional actors.</w:t>
      </w:r>
    </w:p>
    <w:p w14:paraId="09C03F88" w14:textId="77777777" w:rsidR="00AB106E" w:rsidRPr="009C0656" w:rsidRDefault="00AB106E" w:rsidP="009C0656">
      <w:pPr>
        <w:spacing w:line="360" w:lineRule="auto"/>
        <w:jc w:val="both"/>
      </w:pPr>
      <w:r w:rsidRPr="009C0656">
        <w:t xml:space="preserve">The Great Migration intensified the visibility of this </w:t>
      </w:r>
      <w:proofErr w:type="spellStart"/>
      <w:r w:rsidRPr="009C0656">
        <w:t>intraracial</w:t>
      </w:r>
      <w:proofErr w:type="spellEnd"/>
      <w:r w:rsidRPr="009C0656">
        <w:t xml:space="preserve"> division. Many Black migrants arriving in Detroit and Chicago during the 1920s and 1930s were working-class and rural in origin, concentrated </w:t>
      </w:r>
      <w:r w:rsidRPr="009C0656">
        <w:lastRenderedPageBreak/>
        <w:t>in deteriorating inner-city districts and largely excluded from the institutional networks through which established Black leadership operated. Their social position generated considerable distance from civic organisations that did not directly address the particular convergence of conditions shaping migrant life. From the perspective of the migrant majority, the intermediary class occupied a position that could appear aligned with institutions sustaining their subordination.</w:t>
      </w:r>
    </w:p>
    <w:p w14:paraId="2C73A783" w14:textId="24A820D0" w:rsidR="00BA23B3" w:rsidRPr="009C0656" w:rsidRDefault="00AB106E" w:rsidP="009C0656">
      <w:pPr>
        <w:spacing w:line="360" w:lineRule="auto"/>
        <w:jc w:val="both"/>
      </w:pPr>
      <w:r w:rsidRPr="009C0656">
        <w:t xml:space="preserve">At the discursive level, the 85%/10%/5% formulation develops the binary distinction between oppressor and oppressed into a more differentiated account of social agency. Although prominent throughout the movement’s later rhetoric, its foundations and early formulation appear in Period 1. The three categories organise actors according to their relationship to knowledge and truth, specifying different forms of responsibility </w:t>
      </w:r>
      <w:r w:rsidR="000F0352" w:rsidRPr="009C0656">
        <w:t>in</w:t>
      </w:r>
      <w:r w:rsidRPr="009C0656">
        <w:t xml:space="preserve"> the maintenance and transformation of racial domination.</w:t>
      </w:r>
    </w:p>
    <w:p w14:paraId="73FA1E04" w14:textId="1DAA6DF1" w:rsidR="00BC02F6" w:rsidRPr="009C0656" w:rsidRDefault="00BA23B3" w:rsidP="009C0656">
      <w:pPr>
        <w:spacing w:line="360" w:lineRule="auto"/>
        <w:jc w:val="both"/>
      </w:pPr>
      <w:r w:rsidRPr="009C0656">
        <w:t xml:space="preserve">Within its diagnosis </w:t>
      </w:r>
      <w:r w:rsidR="004D3880" w:rsidRPr="009C0656">
        <w:t xml:space="preserve">of </w:t>
      </w:r>
      <w:r w:rsidRPr="009C0656">
        <w:t>humanity</w:t>
      </w:r>
      <w:r w:rsidR="00DE1533" w:rsidRPr="009C0656">
        <w:t>, t</w:t>
      </w:r>
      <w:r w:rsidR="003472E4" w:rsidRPr="009C0656">
        <w:t xml:space="preserve">his framing </w:t>
      </w:r>
      <w:r w:rsidR="00991046" w:rsidRPr="009C0656">
        <w:t xml:space="preserve">also </w:t>
      </w:r>
      <w:r w:rsidR="006155B9" w:rsidRPr="009C0656">
        <w:t xml:space="preserve">identifies </w:t>
      </w:r>
      <w:r w:rsidR="002E21B3" w:rsidRPr="009C0656">
        <w:t>both the external agency of white supremacy and the internal condition of a Black population</w:t>
      </w:r>
      <w:r w:rsidR="00E26CA6" w:rsidRPr="009C0656">
        <w:t xml:space="preserve"> that has been rendered complicit in its own subjugation</w:t>
      </w:r>
      <w:r w:rsidR="00964289" w:rsidRPr="009C0656">
        <w:t>, partly through ignorance and partly through deliberate collaboration</w:t>
      </w:r>
      <w:r w:rsidR="00E26CA6" w:rsidRPr="009C0656">
        <w:t>.</w:t>
      </w:r>
      <w:r w:rsidR="00D43414" w:rsidRPr="009C0656">
        <w:t xml:space="preserve"> </w:t>
      </w:r>
      <w:r w:rsidR="003E3444" w:rsidRPr="009C0656">
        <w:t>The 85% represent the population deprived of knowledge of its true condition. Fard (1934</w:t>
      </w:r>
      <w:r w:rsidR="000E6686" w:rsidRPr="009C0656">
        <w:t>, Lost-Found Muslim Lesson No. 2, Question 14</w:t>
      </w:r>
      <w:r w:rsidR="003E3444" w:rsidRPr="009C0656">
        <w:t>) defines them as ‘the uncivilized people; poison animal eaters; slaves from mental death and power […] who are easily led in the wrong direction, but hard to lead into the right direction.’ Their condition is attributed to a deliberate programme of mystification through which the Devil teaches them that their circumstances originate with a ‘mystery God’, concealing the ‘True God’ and maintaining their servitude (ibid.</w:t>
      </w:r>
      <w:r w:rsidR="008B5F14" w:rsidRPr="009C0656">
        <w:t>, Lost-Found Muslim Lesson No. 2, Question 9</w:t>
      </w:r>
      <w:r w:rsidR="003E3444" w:rsidRPr="009C0656">
        <w:t>). Domination operates through the management of consciousness alongside coercive power.</w:t>
      </w:r>
    </w:p>
    <w:p w14:paraId="1B007FCA" w14:textId="5A131C2E" w:rsidR="001D5FA2" w:rsidRPr="009C0656" w:rsidRDefault="00FF652A" w:rsidP="009C0656">
      <w:pPr>
        <w:spacing w:line="360" w:lineRule="auto"/>
        <w:jc w:val="both"/>
      </w:pPr>
      <w:r w:rsidRPr="009C0656">
        <w:t xml:space="preserve">The ignorance of the 85% </w:t>
      </w:r>
      <w:r w:rsidR="00B863DB" w:rsidRPr="009C0656">
        <w:t xml:space="preserve">is produced by </w:t>
      </w:r>
      <w:r w:rsidR="009154F8" w:rsidRPr="009C0656">
        <w:t>an</w:t>
      </w:r>
      <w:r w:rsidR="00B863DB" w:rsidRPr="009C0656">
        <w:t xml:space="preserve"> intentional systematic deception enforced to </w:t>
      </w:r>
      <w:r w:rsidR="00863AF8" w:rsidRPr="009C0656">
        <w:t>deny Black people knowledge</w:t>
      </w:r>
      <w:r w:rsidR="00C65FA6" w:rsidRPr="009C0656">
        <w:t xml:space="preserve"> of self and of the forces shaping these circumstances.</w:t>
      </w:r>
      <w:r w:rsidR="0047744D" w:rsidRPr="009C0656">
        <w:t xml:space="preserve"> </w:t>
      </w:r>
      <w:r w:rsidR="00DA44AF" w:rsidRPr="009C0656">
        <w:t>The deception is presented as sufficiently thorough to make the 85% resistant to the knowledge capable of liberating them. Their position combines victimhood with responsibility for reproducing their own subordination through continued attachment to beliefs and authorities that obscure the structure of domination. Ignorance becomes a political problem requiring an educational response. Mobilising the 85% requires overcoming forms of resistance understood to have been deliberately installed by those who benefit from their continued ignorance. Elijah</w:t>
      </w:r>
      <w:r w:rsidR="00E36C4E" w:rsidRPr="009C0656">
        <w:t xml:space="preserve">’s </w:t>
      </w:r>
      <w:r w:rsidR="00DA44AF" w:rsidRPr="009C0656">
        <w:t>(1934a) statement that ‘We fear our enemies far more than we love one another’ captures this concern, linking continued subordination to misplaced fear and attachment. The 5% acquire an urgent pedagogical responsibility to redirect these attachments through ideological transformation.</w:t>
      </w:r>
    </w:p>
    <w:p w14:paraId="17EB6760" w14:textId="66B23A1F" w:rsidR="006E4014" w:rsidRPr="009C0656" w:rsidRDefault="001A40A4" w:rsidP="009C0656">
      <w:pPr>
        <w:spacing w:line="360" w:lineRule="auto"/>
        <w:jc w:val="both"/>
      </w:pPr>
      <w:r w:rsidRPr="009C0656">
        <w:t xml:space="preserve">The 10% are identified as ‘The </w:t>
      </w:r>
      <w:proofErr w:type="gramStart"/>
      <w:r w:rsidRPr="009C0656">
        <w:t>Blood-Suckers</w:t>
      </w:r>
      <w:proofErr w:type="gramEnd"/>
      <w:r w:rsidRPr="009C0656">
        <w:t xml:space="preserve"> </w:t>
      </w:r>
      <w:proofErr w:type="gramStart"/>
      <w:r w:rsidRPr="009C0656">
        <w:t>Of</w:t>
      </w:r>
      <w:proofErr w:type="gramEnd"/>
      <w:r w:rsidRPr="009C0656">
        <w:t xml:space="preserve"> </w:t>
      </w:r>
      <w:proofErr w:type="gramStart"/>
      <w:r w:rsidRPr="009C0656">
        <w:t>The</w:t>
      </w:r>
      <w:proofErr w:type="gramEnd"/>
      <w:r w:rsidRPr="009C0656">
        <w:t xml:space="preserve"> Poor’, a designation that foregrounds their extractive relationship with the population they claim to represent (F. Muhammad, 1934</w:t>
      </w:r>
      <w:r w:rsidR="00067D13" w:rsidRPr="009C0656">
        <w:t>, Lost-Found Muslim Lesson No. 2, Question 15</w:t>
      </w:r>
      <w:r w:rsidRPr="009C0656">
        <w:t xml:space="preserve">). Their defining characteristic is possession of knowledge that is deliberately withheld for personal advantage. The category encompasses white elites as well as Black </w:t>
      </w:r>
      <w:r w:rsidRPr="009C0656">
        <w:lastRenderedPageBreak/>
        <w:t xml:space="preserve">collaborators understood to benefit from existing arrangements and those who aspire to positions </w:t>
      </w:r>
      <w:r w:rsidR="00E6034B" w:rsidRPr="009C0656">
        <w:t>in</w:t>
      </w:r>
      <w:r w:rsidRPr="009C0656">
        <w:t xml:space="preserve"> them. The 10% know the truth of the Black man’s divine origin yet conceal it because their relative privilege depends upon the ignorance and misplaced deference of the 85%. Their role involves maintaining a population ‘worshipping something he knows they cannot see’, sustaining the mystified God through which social control is exercised (ibid.</w:t>
      </w:r>
      <w:r w:rsidR="0075696E" w:rsidRPr="009C0656">
        <w:t>, Lost-Found Muslim Lesson No. 2, Question 9</w:t>
      </w:r>
      <w:r w:rsidRPr="009C0656">
        <w:t>).</w:t>
      </w:r>
    </w:p>
    <w:p w14:paraId="53A1CE49" w14:textId="3313DEE3" w:rsidR="002F7095" w:rsidRPr="009C0656" w:rsidRDefault="006024B6" w:rsidP="009C0656">
      <w:pPr>
        <w:spacing w:line="360" w:lineRule="auto"/>
        <w:jc w:val="both"/>
      </w:pPr>
      <w:r w:rsidRPr="009C0656">
        <w:t xml:space="preserve">The Black Church and its religious leadership occupy a prominent place </w:t>
      </w:r>
      <w:r w:rsidR="00E6034B" w:rsidRPr="009C0656">
        <w:t>in</w:t>
      </w:r>
      <w:r w:rsidRPr="009C0656">
        <w:t xml:space="preserve"> this critique. Religious institutions represented influential centres of authority within Black communities, while ministers who directed attention towards spiritual consolation or acceptance of prevailing conditions were portrayed as reproducing ignorance. The Church could function simultaneously as a trusted institution </w:t>
      </w:r>
      <w:r w:rsidR="00E6034B" w:rsidRPr="009C0656">
        <w:t>in</w:t>
      </w:r>
      <w:r w:rsidRPr="009C0656">
        <w:t xml:space="preserve"> Black communal life and as an instrument of the Devil’s programme of mystification. Its leaders provided the agents required to sustain false consciousness, while their institutional position was understood to depend upon the continuation of that arrangement.</w:t>
      </w:r>
    </w:p>
    <w:p w14:paraId="66DA1A03" w14:textId="25D05073" w:rsidR="00CA0580" w:rsidRPr="009C0656" w:rsidRDefault="00CA0580" w:rsidP="009C0656">
      <w:pPr>
        <w:spacing w:line="360" w:lineRule="auto"/>
        <w:jc w:val="both"/>
      </w:pPr>
      <w:r w:rsidRPr="009C0656">
        <w:t>The 5% are defined by their possession of the knowledge concealed by the 10% and their obligation to communicate it to the 85%. They are designated the ‘poor righteous teachers’ (ibid.</w:t>
      </w:r>
      <w:r w:rsidR="00FF26BC" w:rsidRPr="009C0656">
        <w:t>, Lost-Found Muslim Lesson No. 2, Question 16</w:t>
      </w:r>
      <w:r w:rsidRPr="009C0656">
        <w:t xml:space="preserve">). Their task is pedagogical and </w:t>
      </w:r>
      <w:proofErr w:type="spellStart"/>
      <w:r w:rsidRPr="009C0656">
        <w:t>mobilisational</w:t>
      </w:r>
      <w:proofErr w:type="spellEnd"/>
      <w:r w:rsidRPr="009C0656">
        <w:t>; to awaken a population conditioned to resist the truth while confronting the institutional influence of the intermediary class. The 5% provide the prognostic response to the problem identified by the other categories, namely the dissemination of knowledge capable of transforming consciousness. Their moral authority carries an educational obligation, expressed in the injunction to ‘arise the Dead by the thousands’ (ibid.</w:t>
      </w:r>
      <w:r w:rsidR="004C534B" w:rsidRPr="009C0656">
        <w:t>, Original Rules of Instruction, Rule 13</w:t>
      </w:r>
      <w:r w:rsidRPr="009C0656">
        <w:t>). Liberation depends upon disrupting the Devil’s programme as it is administered through the 10% among the ‘uncivilized’ 85%.</w:t>
      </w:r>
    </w:p>
    <w:p w14:paraId="3BA0E0DE" w14:textId="0A5A3B6C" w:rsidR="00EE70AC" w:rsidRPr="009C0656" w:rsidRDefault="00814CD2" w:rsidP="009C0656">
      <w:pPr>
        <w:spacing w:line="360" w:lineRule="auto"/>
        <w:jc w:val="both"/>
      </w:pPr>
      <w:r w:rsidRPr="009C0656">
        <w:t xml:space="preserve">This tripartite framing specifies a set of agents, a set of conditions, and a set of relationships between them that determine the terms on which collective action is possible and necessary. </w:t>
      </w:r>
      <w:r w:rsidR="000E2972" w:rsidRPr="009C0656">
        <w:t xml:space="preserve">It indicates that the NOI was oriented towards more than organisational growth or political protest, placing particular emphasis on the transmission of knowledge as a means of reshaping consciousness. </w:t>
      </w:r>
      <w:r w:rsidR="000B39F2" w:rsidRPr="009C0656">
        <w:t>The structure offers a comprehensive explanation of social persistence and social change. The 85% explains why domination remained widespread; the 10% explains how it is maintained; and the 5% explains how it can be overcome</w:t>
      </w:r>
      <w:r w:rsidR="006E38AE" w:rsidRPr="009C0656">
        <w:t>.</w:t>
      </w:r>
    </w:p>
    <w:p w14:paraId="5DA62BAB" w14:textId="7AC66FA4" w:rsidR="00424FF8" w:rsidRPr="009C0656" w:rsidRDefault="002155EF" w:rsidP="009C0656">
      <w:pPr>
        <w:pStyle w:val="TNRHeading3"/>
        <w:spacing w:line="360" w:lineRule="auto"/>
        <w:jc w:val="both"/>
        <w:rPr>
          <w:color w:val="auto"/>
        </w:rPr>
      </w:pPr>
      <w:r w:rsidRPr="009C0656">
        <w:rPr>
          <w:color w:val="auto"/>
        </w:rPr>
        <w:t>Tricknology</w:t>
      </w:r>
      <w:r w:rsidR="00424FF8" w:rsidRPr="009C0656">
        <w:rPr>
          <w:color w:val="auto"/>
        </w:rPr>
        <w:t xml:space="preserve"> and </w:t>
      </w:r>
      <w:r w:rsidRPr="009C0656">
        <w:rPr>
          <w:color w:val="auto"/>
        </w:rPr>
        <w:t>the</w:t>
      </w:r>
      <w:r w:rsidR="00424FF8" w:rsidRPr="009C0656">
        <w:rPr>
          <w:color w:val="auto"/>
        </w:rPr>
        <w:t xml:space="preserve"> Sources of Oppression</w:t>
      </w:r>
    </w:p>
    <w:p w14:paraId="602135DA" w14:textId="16620BE2" w:rsidR="00F80557" w:rsidRPr="009C0656" w:rsidRDefault="002D2F93" w:rsidP="009C0656">
      <w:pPr>
        <w:spacing w:line="360" w:lineRule="auto"/>
        <w:jc w:val="both"/>
      </w:pPr>
      <w:r w:rsidRPr="009C0656">
        <w:t xml:space="preserve">Where nomination identifies the agents of oppression, this dimension of the diagnostic frame identifies its instruments, specifying the mechanisms through which the devil’s dominion is produced and sustained. Early NOI teaching treated the production of ignorance itself as a mechanism of rule. Restrictions on knowledge and self-understanding were presented as necessary conditions for maintaining political and economic domination, while also obstructing collective organisation. Control </w:t>
      </w:r>
      <w:r w:rsidRPr="009C0656">
        <w:lastRenderedPageBreak/>
        <w:t>over what Black people knew about themselves and their place in the world constituted a central mechanism through which racial subordination was reproduced.</w:t>
      </w:r>
    </w:p>
    <w:p w14:paraId="51AAAF3B" w14:textId="7C170082" w:rsidR="00074354" w:rsidRPr="009C0656" w:rsidRDefault="00074354" w:rsidP="009C0656">
      <w:pPr>
        <w:spacing w:line="360" w:lineRule="auto"/>
        <w:jc w:val="both"/>
      </w:pPr>
      <w:r w:rsidRPr="009C0656">
        <w:t xml:space="preserve">Educational deprivation was among the most fundamental of these instruments. The early corpus repeatedly presents illiteracy and ignorance as deliberately maintained conditions serving the interests of the white system. In the </w:t>
      </w:r>
      <w:r w:rsidR="00C22150" w:rsidRPr="009C0656">
        <w:t>‘</w:t>
      </w:r>
      <w:r w:rsidRPr="009C0656">
        <w:t xml:space="preserve">Lost-Found Muslim Lesson No. </w:t>
      </w:r>
      <w:r w:rsidR="00C946A4" w:rsidRPr="009C0656">
        <w:t>1</w:t>
      </w:r>
      <w:r w:rsidR="00C22150" w:rsidRPr="009C0656">
        <w:t>’</w:t>
      </w:r>
      <w:r w:rsidRPr="009C0656">
        <w:t>, Fard (1934) asks, ‘Why does the Devil keep our people illiterate?’ and answers, ‘So that he can use them for a tool and, also, a slave. He keeps them blind to themselves so that he can master them. Illiterate means ignorant.’ Illiteracy is attributed a deliberate political function</w:t>
      </w:r>
      <w:r w:rsidR="00DD6A0A" w:rsidRPr="009C0656">
        <w:t>, that of</w:t>
      </w:r>
      <w:r w:rsidRPr="009C0656">
        <w:t xml:space="preserve"> preventing the Black man from acquiring knowledge of himself. The phrase ‘blind to themselves’ connects educational deprivation directly to the movement’s concept of ‘Actual Facts’, including knowledge of divine origin, the devil’s grafted nature, and the historical construction of racial domination. The diagnostic implication is that liberation requires a distinct epistemological order capable of replacing the knowledge produced by the oppressor.</w:t>
      </w:r>
    </w:p>
    <w:p w14:paraId="33DB79CF" w14:textId="11854708" w:rsidR="00A31236" w:rsidRPr="009C0656" w:rsidRDefault="00392535" w:rsidP="009C0656">
      <w:pPr>
        <w:spacing w:line="360" w:lineRule="auto"/>
        <w:jc w:val="both"/>
      </w:pPr>
      <w:r w:rsidRPr="009C0656">
        <w:t>This emphasis draws upon broader Black traditions linking literacy and historical knowledge to freedom, while the NOI places knowledge of self at the foundation of its causal account of oppression. Economic exploitation, political marginalisation, and social degradation become possible because Black people have been separated from knowledge of their origins and collective identity. The movement extended its critique to public schools and universities, which it portrayed as institutions through which distorted histories reproduced the worldview of the dominant order. Against this system, it promoted ‘the knowledge of our own’, distinguishing it from the ‘civilization of the Caucasian devils’ (Beynon, 1938, p. 902). Education became an explicit site of epistemic struggle.</w:t>
      </w:r>
    </w:p>
    <w:p w14:paraId="12142CAF" w14:textId="67B5D4B8" w:rsidR="00A31236" w:rsidRPr="009C0656" w:rsidRDefault="0083164E" w:rsidP="009C0656">
      <w:pPr>
        <w:spacing w:line="360" w:lineRule="auto"/>
        <w:jc w:val="both"/>
      </w:pPr>
      <w:r w:rsidRPr="009C0656">
        <w:t>The establishment of the Muhammad University of Islam (MUI) in Detroit in 1934 translated this diagnosis into institutional form. Conceived as a counter-educational institution, the MUI sought to reorganise historical and racial knowledge around the movement’s foundational teachings. Its establishment formed part of a wider institutional architecture that included the Fruit of Islam (FOI) and the Muslim Girls Training and General Civilization Class (MGT-GCC), established in 1933. Together, these institutions extended the movement’s epistemic project into education, discipline, and gendered socialisation. King (2006, p. 270) describes this as ‘a comprehensive system of education that addressed every facet of life necessary for a people to be educated and productive in a nurturing community environment.’ Later institutions, including Muhammad Farms and Shabazz Restaurant, extended the same counter-institutional logic into economic and communal life. The MUI reconstructed knowledge, the FOI cultivated disciplined masculine formation, and the MGT-GCC organised women’s education and social development within the movement’s own normative framework.</w:t>
      </w:r>
    </w:p>
    <w:p w14:paraId="2FF49A1D" w14:textId="684F0682" w:rsidR="00147A76" w:rsidRPr="009C0656" w:rsidRDefault="00147A76" w:rsidP="009C0656">
      <w:pPr>
        <w:spacing w:line="360" w:lineRule="auto"/>
        <w:jc w:val="both"/>
      </w:pPr>
      <w:r w:rsidRPr="009C0656">
        <w:t xml:space="preserve">State intervention in the MUI provided further evidence, </w:t>
      </w:r>
      <w:r w:rsidR="00E6034B" w:rsidRPr="009C0656">
        <w:t>in</w:t>
      </w:r>
      <w:r w:rsidRPr="009C0656">
        <w:t xml:space="preserve"> the movement’s diagnostic framework, of the structures it sought to expose. Teachers and parents were arrested on charges relating to the ‘delinquency of minors’ and truancy, while municipal authorities treated the school’s operation as </w:t>
      </w:r>
      <w:r w:rsidRPr="009C0656">
        <w:lastRenderedPageBreak/>
        <w:t xml:space="preserve">institutional defiance (Clegg, 1997, pp. 36–37). The state’s refusal to recognise NOI educational autonomy could be incorporated into the movement’s account of epistemic domination. The resulting legal conflict also contributed to the development of the movement’s counter-institutional infrastructure. Its implications for prognostic framing are considered further in the section on </w:t>
      </w:r>
      <w:r w:rsidR="00C22150" w:rsidRPr="009C0656">
        <w:t>‘</w:t>
      </w:r>
      <w:r w:rsidRPr="009C0656">
        <w:t>Parallel Institutionalisation</w:t>
      </w:r>
      <w:r w:rsidR="00C22150" w:rsidRPr="009C0656">
        <w:t>’</w:t>
      </w:r>
      <w:r w:rsidRPr="009C0656">
        <w:t xml:space="preserve">, while the relationship between this confrontation and state repression is examined through </w:t>
      </w:r>
      <w:r w:rsidR="00C22150" w:rsidRPr="009C0656">
        <w:t>‘</w:t>
      </w:r>
      <w:r w:rsidRPr="009C0656">
        <w:t>State Surveillance and Frame Contest.</w:t>
      </w:r>
      <w:r w:rsidR="00C22150" w:rsidRPr="009C0656">
        <w:t>’</w:t>
      </w:r>
    </w:p>
    <w:p w14:paraId="41502591" w14:textId="1B544977" w:rsidR="00FC100A" w:rsidRPr="009C0656" w:rsidRDefault="00F65375" w:rsidP="009C0656">
      <w:pPr>
        <w:spacing w:line="360" w:lineRule="auto"/>
        <w:jc w:val="both"/>
      </w:pPr>
      <w:r w:rsidRPr="009C0656">
        <w:t>Religious doctrine constituted a further mechanism of epistemic control. Fard (1934</w:t>
      </w:r>
      <w:r w:rsidR="00811882" w:rsidRPr="009C0656">
        <w:t>, Lost-Found Muslim Lesson No. 1</w:t>
      </w:r>
      <w:r w:rsidRPr="009C0656">
        <w:t>) characterised Christianity as an engineered instrument of submission, identified in NOI discourse as ‘</w:t>
      </w:r>
      <w:proofErr w:type="spellStart"/>
      <w:r w:rsidRPr="009C0656">
        <w:t>tricknollogy</w:t>
      </w:r>
      <w:proofErr w:type="spellEnd"/>
      <w:r w:rsidRPr="009C0656">
        <w:t xml:space="preserve">’. Its function was associated with promises of comfort and deferred reward that redirected attention towards an afterlife. The </w:t>
      </w:r>
      <w:r w:rsidR="00C447AD" w:rsidRPr="009C0656">
        <w:rPr>
          <w:i/>
          <w:iCs/>
        </w:rPr>
        <w:t>FCTI</w:t>
      </w:r>
      <w:r w:rsidRPr="009C0656">
        <w:t xml:space="preserve"> similarly presented scripture as having been deliberately corrupted by ‘wicked translators’ acting in the interests of white power, who ‘took out some of the truth and added lies to some parts of it’ (E. Muhammad, 1934b). Black preachers became implicated within a system of theological mystification whose ultimate source the movement identified with the white devil. Scriptural corruption and educational deprivation were connected through a common mechanism</w:t>
      </w:r>
      <w:r w:rsidR="00AF61FF" w:rsidRPr="009C0656">
        <w:t xml:space="preserve"> that</w:t>
      </w:r>
      <w:r w:rsidRPr="009C0656">
        <w:t xml:space="preserve"> restrict</w:t>
      </w:r>
      <w:r w:rsidR="00AF61FF" w:rsidRPr="009C0656">
        <w:t xml:space="preserve">ed </w:t>
      </w:r>
      <w:r w:rsidRPr="009C0656">
        <w:t>access to knowledge of self and redirect</w:t>
      </w:r>
      <w:r w:rsidR="00AF61FF" w:rsidRPr="009C0656">
        <w:t>ed</w:t>
      </w:r>
      <w:r w:rsidRPr="009C0656">
        <w:t xml:space="preserve"> attention away from present structures of domination. The diagnosis gained resonance from the historical tension between claims of Christian equality and the realities of segregation and racial violence, as well as from the material dislocation of the Depression.</w:t>
      </w:r>
    </w:p>
    <w:p w14:paraId="00F0B5A4" w14:textId="5D11F266" w:rsidR="00A31236" w:rsidRPr="009C0656" w:rsidRDefault="00C52332" w:rsidP="009C0656">
      <w:pPr>
        <w:spacing w:line="360" w:lineRule="auto"/>
        <w:jc w:val="both"/>
      </w:pPr>
      <w:r w:rsidRPr="009C0656">
        <w:t xml:space="preserve">Racial segregation formed a further mechanism </w:t>
      </w:r>
      <w:r w:rsidR="00162F87" w:rsidRPr="009C0656">
        <w:t>in</w:t>
      </w:r>
      <w:r w:rsidRPr="009C0656">
        <w:t xml:space="preserve"> this epistemic system. Fard (1934</w:t>
      </w:r>
      <w:r w:rsidR="00BA2A38" w:rsidRPr="009C0656">
        <w:t>, Lost-Found Muslim Lesson No. 1, Question 8</w:t>
      </w:r>
      <w:r w:rsidRPr="009C0656">
        <w:t>) recast segregation as a means through which whites protected themselves from exposure, asking: ‘Why does the Devil keep our people apart from his social equality? Answer: Because he does not want us to know how filthy he is in all his affairs.’ Segregation is interpreted as an attempt to prevent Black people from acquiring knowledge through proximity to whites. This reversal supplies the rationale for the NOI’s call for deliberate separation, transforming imposed spatial exclusion into a principle of self-directed community formation. Separation becomes a prognostic response through which Black people can construct institutions capable of producing their own knowledge and sustaining collective autonomy.</w:t>
      </w:r>
    </w:p>
    <w:p w14:paraId="445D8C82" w14:textId="5AF3ED7E" w:rsidR="003A7D3F" w:rsidRPr="009C0656" w:rsidRDefault="00CB5003" w:rsidP="009C0656">
      <w:pPr>
        <w:spacing w:line="360" w:lineRule="auto"/>
        <w:jc w:val="both"/>
      </w:pPr>
      <w:r w:rsidRPr="009C0656">
        <w:t xml:space="preserve">This spatial diagnosis extends to the movement’s understanding of America itself. The United States is represented as a hostile environment through metaphors of the ‘wilderness’ and the ‘cave’, which frame Black presence as displacement from an ancestral home. In the earliest recorded sermon, Fard describes Black Americans as living in the ‘wilderness of North America’, a formulation repeated in his September 1933 letter to Elijah Muhammad concerning ‘giving life to the dead Nation of Islam in the wilderness of North America’ (Bontemps and Conroy, 1945, p. 178; Fard, 1933a). The wilderness carries biblical and Qur’anic associations of exile and eventual return, situating Black life in America </w:t>
      </w:r>
      <w:r w:rsidR="00AC7388" w:rsidRPr="009C0656">
        <w:t>in</w:t>
      </w:r>
      <w:r w:rsidRPr="009C0656">
        <w:t xml:space="preserve"> a prophetic narrative of displacement and restoration.</w:t>
      </w:r>
    </w:p>
    <w:p w14:paraId="751F1C06" w14:textId="532EEDC8" w:rsidR="00A97015" w:rsidRPr="009C0656" w:rsidRDefault="00A97015" w:rsidP="009C0656">
      <w:pPr>
        <w:spacing w:line="360" w:lineRule="auto"/>
        <w:jc w:val="both"/>
      </w:pPr>
      <w:r w:rsidRPr="009C0656">
        <w:lastRenderedPageBreak/>
        <w:t>The December 1933 letter develops this spatial diagnosis further, describing American society as a ‘cave civilization’ and warning that the Black man is ‘in the mouth of the lion in his cave’ (Fard, 1933b). Beynon (193</w:t>
      </w:r>
      <w:r w:rsidR="007E10D6" w:rsidRPr="009C0656">
        <w:t>8</w:t>
      </w:r>
      <w:r w:rsidRPr="009C0656">
        <w:t>, p. 898) similarly records the description of the Black man as ‘lost from home’. America is rendered as an environment structured by captivity and alienation, with integration into its institutions incompatible with the movement’s conception of liberation. Alternative spaces of community, education, and economic organisation become necessary components of the prognostic frame.</w:t>
      </w:r>
    </w:p>
    <w:p w14:paraId="14DC4F86" w14:textId="1C521CD2" w:rsidR="00C10E47" w:rsidRPr="009C0656" w:rsidRDefault="00A97015" w:rsidP="009C0656">
      <w:pPr>
        <w:spacing w:line="360" w:lineRule="auto"/>
        <w:jc w:val="both"/>
      </w:pPr>
      <w:r w:rsidRPr="009C0656">
        <w:t>Beynon’s (193</w:t>
      </w:r>
      <w:r w:rsidR="007E10D6" w:rsidRPr="009C0656">
        <w:t>8</w:t>
      </w:r>
      <w:r w:rsidRPr="009C0656">
        <w:t>) observations indicate how these spatial and theological categories entered members’ interpretations of experience. Migrants who had encountered racial discrimination in the North ‘began to realize that lynchings and the indignities of the Jim Crow system were perpetrated by Caucasians who worshipped the same God as they did and worshipped Him in the same way’ (ibid.). The shared religious framework between Black and white Christianity became evidence within the NOI’s diagnosis of the wider system it sought to escape. The metaphors of wilderness and cave provided a spatial vocabulary for understanding this condition, while the movement’s alternative institutions supplied a practical route towards autonomy. Awakening involved recognising the character of the existing environment and developing forms of Black selfhood capable of sustaining life beyond its organising logic.</w:t>
      </w:r>
    </w:p>
    <w:p w14:paraId="51A197B2" w14:textId="365400AD" w:rsidR="00C85234" w:rsidRPr="009C0656" w:rsidRDefault="00C24DF0" w:rsidP="009C0656">
      <w:pPr>
        <w:pStyle w:val="TNRHeading3"/>
        <w:spacing w:line="360" w:lineRule="auto"/>
        <w:jc w:val="both"/>
        <w:rPr>
          <w:color w:val="auto"/>
        </w:rPr>
      </w:pPr>
      <w:r w:rsidRPr="009C0656">
        <w:rPr>
          <w:color w:val="auto"/>
        </w:rPr>
        <w:t xml:space="preserve">Internal </w:t>
      </w:r>
      <w:proofErr w:type="spellStart"/>
      <w:r w:rsidRPr="009C0656">
        <w:rPr>
          <w:color w:val="auto"/>
        </w:rPr>
        <w:t>Misleadership</w:t>
      </w:r>
      <w:proofErr w:type="spellEnd"/>
    </w:p>
    <w:p w14:paraId="739082C1" w14:textId="24480181" w:rsidR="00176376" w:rsidRPr="009C0656" w:rsidRDefault="0090337C" w:rsidP="009C0656">
      <w:pPr>
        <w:spacing w:after="200" w:line="360" w:lineRule="auto"/>
        <w:jc w:val="both"/>
      </w:pPr>
      <w:r w:rsidRPr="009C0656">
        <w:t xml:space="preserve">The internal </w:t>
      </w:r>
      <w:proofErr w:type="spellStart"/>
      <w:r w:rsidRPr="009C0656">
        <w:t>misleadership</w:t>
      </w:r>
      <w:proofErr w:type="spellEnd"/>
      <w:r w:rsidRPr="009C0656">
        <w:t xml:space="preserve"> frame extends the 10% category set out above from a general taxonomic position into a specific, locally visible institutional target. Where the Tripartite Stratification identifies an intermediary class in the abstract, this frame names Black religious leadership as its most immediate occupant</w:t>
      </w:r>
      <w:r w:rsidR="00AF61FF" w:rsidRPr="009C0656">
        <w:t>,</w:t>
      </w:r>
      <w:r w:rsidRPr="009C0656">
        <w:t xml:space="preserve"> a stratum of Black religious leadership positioned, within the movement’s diagnosis, as active participants in the reproduction of the mechanism responsible for Black subjugation. Fard and Elijah Muhammad accordingly present several instances of what can be termed an internal </w:t>
      </w:r>
      <w:proofErr w:type="spellStart"/>
      <w:r w:rsidRPr="009C0656">
        <w:t>misleadership</w:t>
      </w:r>
      <w:proofErr w:type="spellEnd"/>
      <w:r w:rsidRPr="009C0656">
        <w:t xml:space="preserve"> frame. The various preachers and church leaders generally targeted by this frame are diagnosed as knowing collaborators, whose betrayal of their congregations is deliberate and materially motivated.</w:t>
      </w:r>
    </w:p>
    <w:p w14:paraId="09F5154F" w14:textId="39C54669" w:rsidR="00176376" w:rsidRPr="009C0656" w:rsidRDefault="00176376" w:rsidP="009C0656">
      <w:pPr>
        <w:spacing w:line="360" w:lineRule="auto"/>
        <w:jc w:val="both"/>
      </w:pPr>
      <w:r w:rsidRPr="009C0656">
        <w:t>Depression-era Detroit</w:t>
      </w:r>
      <w:r w:rsidR="00447DCA" w:rsidRPr="009C0656">
        <w:t xml:space="preserve"> was </w:t>
      </w:r>
      <w:r w:rsidR="002917F5" w:rsidRPr="009C0656">
        <w:t xml:space="preserve">fraught with a </w:t>
      </w:r>
      <w:r w:rsidRPr="009C0656">
        <w:t>genuinely competitive religious landscape. Established Baptist and Methodist churches occupied the institutional centre of Black community life, holding the loyalt</w:t>
      </w:r>
      <w:r w:rsidR="00F701A9" w:rsidRPr="009C0656">
        <w:t xml:space="preserve">y </w:t>
      </w:r>
      <w:r w:rsidRPr="009C0656">
        <w:t>and moral authority of the same migrant population the NOI was attempting to mobilise. Garveyite remnants, Moorish Science adherents, and various independent religious formations competed alongside them. For a nascent, resource-poor movement attempting to recruit from this same constituency, the established church was a structural obstacle</w:t>
      </w:r>
      <w:r w:rsidR="00F701A9" w:rsidRPr="009C0656">
        <w:t xml:space="preserve">; </w:t>
      </w:r>
      <w:r w:rsidRPr="009C0656">
        <w:t>one whose authority was grounded in decades of communal infrastructure</w:t>
      </w:r>
      <w:r w:rsidR="00477DEF" w:rsidRPr="009C0656">
        <w:t xml:space="preserve"> </w:t>
      </w:r>
      <w:r w:rsidRPr="009C0656">
        <w:t xml:space="preserve">and the reputational legitimacy that came with size and longevity. The internal </w:t>
      </w:r>
      <w:proofErr w:type="spellStart"/>
      <w:r w:rsidRPr="009C0656">
        <w:t>misleadership</w:t>
      </w:r>
      <w:proofErr w:type="spellEnd"/>
      <w:r w:rsidRPr="009C0656">
        <w:t xml:space="preserve"> frame addressed this competitive pressure through diagnostic means</w:t>
      </w:r>
      <w:r w:rsidR="00A26242" w:rsidRPr="009C0656">
        <w:t xml:space="preserve">, </w:t>
      </w:r>
      <w:r w:rsidRPr="009C0656">
        <w:t>identifying the church leadership as agents of the oppresso</w:t>
      </w:r>
      <w:r w:rsidR="00A26242" w:rsidRPr="009C0656">
        <w:t xml:space="preserve">r. </w:t>
      </w:r>
      <w:r w:rsidR="00DD32A4" w:rsidRPr="009C0656">
        <w:t>M</w:t>
      </w:r>
      <w:r w:rsidRPr="009C0656">
        <w:t xml:space="preserve">embership of existing institutions </w:t>
      </w:r>
      <w:r w:rsidR="00DD32A4" w:rsidRPr="009C0656">
        <w:t xml:space="preserve">would </w:t>
      </w:r>
      <w:r w:rsidR="00B028F8" w:rsidRPr="009C0656">
        <w:t>correspondingly</w:t>
      </w:r>
      <w:r w:rsidR="00DD32A4" w:rsidRPr="009C0656">
        <w:t xml:space="preserve"> assume </w:t>
      </w:r>
      <w:r w:rsidRPr="009C0656">
        <w:t>complicity</w:t>
      </w:r>
      <w:r w:rsidR="00DD32A4" w:rsidRPr="009C0656">
        <w:t>.</w:t>
      </w:r>
    </w:p>
    <w:p w14:paraId="1A3F4075" w14:textId="7A7C8269" w:rsidR="00176376" w:rsidRPr="009C0656" w:rsidRDefault="00752DC6" w:rsidP="009C0656">
      <w:pPr>
        <w:spacing w:line="360" w:lineRule="auto"/>
        <w:jc w:val="both"/>
      </w:pPr>
      <w:r w:rsidRPr="009C0656">
        <w:lastRenderedPageBreak/>
        <w:t xml:space="preserve">The historical basis for the collaboration charge was sufficiently grounded in existing social conditions to make the diagnosis plausible. Some Black clergy had acted as intermediaries between white civic and philanthropic institutions and their congregations, operating </w:t>
      </w:r>
      <w:r w:rsidR="00AC7388" w:rsidRPr="009C0656">
        <w:t>across</w:t>
      </w:r>
      <w:r w:rsidR="005B18CD" w:rsidRPr="009C0656">
        <w:t xml:space="preserve"> a</w:t>
      </w:r>
      <w:r w:rsidR="001B5D2E" w:rsidRPr="009C0656">
        <w:t xml:space="preserve">rrangements </w:t>
      </w:r>
      <w:r w:rsidRPr="009C0656">
        <w:t>that required some accommodation of white institutional power. The NOI’s frame interpreted this accommodation as a form of betrayal and personal gain. Elijah</w:t>
      </w:r>
      <w:r w:rsidR="00787F19" w:rsidRPr="009C0656">
        <w:t xml:space="preserve"> Muhammad</w:t>
      </w:r>
      <w:r w:rsidRPr="009C0656">
        <w:t>’s (1934c) accusation that preachers accepted ‘a few measly dollars’ from their own enemies while misleading their congregations drew upon an existing relationship between Black clergy and white institutions, recasting it as evidence of moral compromise.</w:t>
      </w:r>
    </w:p>
    <w:p w14:paraId="07988A4B" w14:textId="358C440D" w:rsidR="00176376" w:rsidRPr="009C0656" w:rsidRDefault="00954104" w:rsidP="009C0656">
      <w:pPr>
        <w:spacing w:line="360" w:lineRule="auto"/>
        <w:jc w:val="both"/>
      </w:pPr>
      <w:r w:rsidRPr="009C0656">
        <w:t xml:space="preserve">This diagnosis escalates across the </w:t>
      </w:r>
      <w:r w:rsidRPr="009C0656">
        <w:rPr>
          <w:i/>
          <w:iCs/>
        </w:rPr>
        <w:t>FCTI</w:t>
      </w:r>
      <w:r w:rsidRPr="009C0656">
        <w:t xml:space="preserve">. Elijah </w:t>
      </w:r>
      <w:r w:rsidR="00787F19" w:rsidRPr="009C0656">
        <w:t xml:space="preserve">Muhammad </w:t>
      </w:r>
      <w:r w:rsidRPr="009C0656">
        <w:t>(ibid.) addresses preachers as ‘foolish and blindfolded leaders’ before accusing them of seeking ‘to destroy the Prophet and all Moslems for teaching the people the truth’ (ibid.). They are positioned as active agents of suppression rather than passive participants in an established system. Elijah</w:t>
      </w:r>
      <w:r w:rsidR="00787F19" w:rsidRPr="009C0656">
        <w:t xml:space="preserve"> Muhammad</w:t>
      </w:r>
      <w:r w:rsidRPr="009C0656">
        <w:t>’s accusation that preachers withheld the Asiatic Holy Names further applies the 10% taxonomy to specific institutional actors</w:t>
      </w:r>
      <w:r w:rsidR="000601AB" w:rsidRPr="009C0656">
        <w:t>,</w:t>
      </w:r>
      <w:r w:rsidRPr="009C0656">
        <w:t xml:space="preserve"> present</w:t>
      </w:r>
      <w:r w:rsidR="000601AB" w:rsidRPr="009C0656">
        <w:t xml:space="preserve">ing them </w:t>
      </w:r>
      <w:r w:rsidRPr="009C0656">
        <w:t>as possessing knowledge while deliberately preventing others from acquiring it.</w:t>
      </w:r>
    </w:p>
    <w:p w14:paraId="01FE2529" w14:textId="666A1ACB" w:rsidR="00176376" w:rsidRPr="009C0656" w:rsidRDefault="00954104" w:rsidP="009C0656">
      <w:pPr>
        <w:spacing w:line="360" w:lineRule="auto"/>
        <w:jc w:val="both"/>
      </w:pPr>
      <w:r w:rsidRPr="009C0656">
        <w:t xml:space="preserve">The frame also extends inward to dissent </w:t>
      </w:r>
      <w:r w:rsidR="00AC7388" w:rsidRPr="009C0656">
        <w:t>in</w:t>
      </w:r>
      <w:r w:rsidRPr="009C0656">
        <w:t xml:space="preserve"> the NOI itself. Departures from Fard and Elijah</w:t>
      </w:r>
      <w:r w:rsidR="00787F19" w:rsidRPr="009C0656">
        <w:t xml:space="preserve"> Muhammad</w:t>
      </w:r>
      <w:r w:rsidRPr="009C0656">
        <w:t>’s authority are incorporated into the movement’s account of the devil’s programme. The early breakaway congregation associated with Abdul Mohammed, reportedly organised around loyalty to the American Constitution, illustrates the contested boundaries of the emerging movement (Beynon, 1938, p. 903). Internal fragmentation was incorporated into the movement’s developing diagnostic vocabulary.</w:t>
      </w:r>
    </w:p>
    <w:p w14:paraId="6DC234A4" w14:textId="1E5DFA93" w:rsidR="00C24DF0" w:rsidRPr="009C0656" w:rsidRDefault="00D4014B" w:rsidP="009C0656">
      <w:pPr>
        <w:spacing w:line="360" w:lineRule="auto"/>
        <w:jc w:val="both"/>
      </w:pPr>
      <w:r w:rsidRPr="009C0656">
        <w:t>This logic encompass</w:t>
      </w:r>
      <w:r w:rsidR="00EB4F29" w:rsidRPr="009C0656">
        <w:t>ed</w:t>
      </w:r>
      <w:r w:rsidRPr="009C0656">
        <w:t xml:space="preserve"> any Black voice that challenged the NOI’s claims. Opposition </w:t>
      </w:r>
      <w:r w:rsidR="00EB4F29" w:rsidRPr="009C0656">
        <w:t xml:space="preserve">was </w:t>
      </w:r>
      <w:r w:rsidRPr="009C0656">
        <w:t xml:space="preserve">classified </w:t>
      </w:r>
      <w:r w:rsidR="00AC7388" w:rsidRPr="009C0656">
        <w:t>in</w:t>
      </w:r>
      <w:r w:rsidRPr="009C0656">
        <w:t xml:space="preserve"> the 10% as the activity of knowing collaborators, allowing the diagnostic frame to pre-empt competing interpretations before they gained wider traction. Reverend Peck and Father Daniel, both named in the </w:t>
      </w:r>
      <w:r w:rsidRPr="009C0656">
        <w:rPr>
          <w:i/>
          <w:iCs/>
        </w:rPr>
        <w:t>FCTI</w:t>
      </w:r>
      <w:r w:rsidRPr="009C0656">
        <w:t xml:space="preserve"> as critics of the movement, are positioned within this framework as agents of the devil’s </w:t>
      </w:r>
      <w:proofErr w:type="spellStart"/>
      <w:r w:rsidRPr="009C0656">
        <w:t>misleadership</w:t>
      </w:r>
      <w:proofErr w:type="spellEnd"/>
      <w:r w:rsidRPr="009C0656">
        <w:t xml:space="preserve"> programme (E. Muhammad, 1934d). As the frame incorporated external clergy, internal dissent, and named critics </w:t>
      </w:r>
      <w:r w:rsidR="00AC7388" w:rsidRPr="009C0656">
        <w:t>in</w:t>
      </w:r>
      <w:r w:rsidRPr="009C0656">
        <w:t xml:space="preserve"> a common explanatory structure, opposition itself became further evidence for the diagnosis.</w:t>
      </w:r>
    </w:p>
    <w:p w14:paraId="41DE42AE" w14:textId="51A2CDE9" w:rsidR="000B7B1F" w:rsidRPr="009C0656" w:rsidRDefault="001D52F3" w:rsidP="009C0656">
      <w:pPr>
        <w:pStyle w:val="TNRHeading3"/>
        <w:spacing w:line="360" w:lineRule="auto"/>
        <w:jc w:val="both"/>
        <w:rPr>
          <w:color w:val="auto"/>
        </w:rPr>
      </w:pPr>
      <w:r w:rsidRPr="009C0656">
        <w:rPr>
          <w:color w:val="auto"/>
        </w:rPr>
        <w:t>Bodily and Material Deprivation</w:t>
      </w:r>
    </w:p>
    <w:p w14:paraId="481AF47A" w14:textId="74120ED0" w:rsidR="00D3375E" w:rsidRPr="009C0656" w:rsidRDefault="00793B85" w:rsidP="009C0656">
      <w:pPr>
        <w:spacing w:line="360" w:lineRule="auto"/>
        <w:jc w:val="both"/>
        <w:rPr>
          <w:rFonts w:cstheme="majorBidi"/>
          <w:sz w:val="21"/>
          <w:szCs w:val="21"/>
        </w:rPr>
      </w:pPr>
      <w:r w:rsidRPr="009C0656">
        <w:rPr>
          <w:rFonts w:cstheme="majorBidi"/>
          <w:sz w:val="21"/>
          <w:szCs w:val="21"/>
        </w:rPr>
        <w:t xml:space="preserve">What was promised as </w:t>
      </w:r>
      <w:r w:rsidR="00D01B38" w:rsidRPr="009C0656">
        <w:rPr>
          <w:rFonts w:cstheme="majorBidi"/>
          <w:sz w:val="21"/>
          <w:szCs w:val="21"/>
        </w:rPr>
        <w:t xml:space="preserve">relocation to a </w:t>
      </w:r>
      <w:r w:rsidR="006C1B80" w:rsidRPr="009C0656">
        <w:rPr>
          <w:rFonts w:cstheme="majorBidi"/>
          <w:sz w:val="21"/>
          <w:szCs w:val="21"/>
        </w:rPr>
        <w:t>‘</w:t>
      </w:r>
      <w:r w:rsidR="00D01B38" w:rsidRPr="009C0656">
        <w:rPr>
          <w:rFonts w:cstheme="majorBidi"/>
          <w:sz w:val="21"/>
          <w:szCs w:val="21"/>
        </w:rPr>
        <w:t>land of hope,</w:t>
      </w:r>
      <w:r w:rsidR="006C1B80" w:rsidRPr="009C0656">
        <w:rPr>
          <w:rFonts w:cstheme="majorBidi"/>
          <w:sz w:val="21"/>
          <w:szCs w:val="21"/>
        </w:rPr>
        <w:t>’</w:t>
      </w:r>
      <w:r w:rsidR="00D01B38" w:rsidRPr="009C0656">
        <w:rPr>
          <w:rFonts w:cstheme="majorBidi"/>
          <w:sz w:val="21"/>
          <w:szCs w:val="21"/>
        </w:rPr>
        <w:t xml:space="preserve"> instead</w:t>
      </w:r>
      <w:r w:rsidRPr="009C0656">
        <w:rPr>
          <w:rFonts w:cstheme="majorBidi"/>
          <w:sz w:val="21"/>
          <w:szCs w:val="21"/>
        </w:rPr>
        <w:t xml:space="preserve"> delivered poverty</w:t>
      </w:r>
      <w:r w:rsidR="00D01B38" w:rsidRPr="009C0656">
        <w:rPr>
          <w:rFonts w:cstheme="majorBidi"/>
          <w:sz w:val="21"/>
          <w:szCs w:val="21"/>
        </w:rPr>
        <w:t xml:space="preserve"> and </w:t>
      </w:r>
      <w:r w:rsidRPr="009C0656">
        <w:rPr>
          <w:rFonts w:cstheme="majorBidi"/>
          <w:sz w:val="21"/>
          <w:szCs w:val="21"/>
        </w:rPr>
        <w:t xml:space="preserve">illness, and </w:t>
      </w:r>
      <w:r w:rsidR="00D01B38" w:rsidRPr="009C0656">
        <w:rPr>
          <w:rFonts w:cstheme="majorBidi"/>
          <w:sz w:val="21"/>
          <w:szCs w:val="21"/>
        </w:rPr>
        <w:t xml:space="preserve">subsequent </w:t>
      </w:r>
      <w:r w:rsidRPr="009C0656">
        <w:rPr>
          <w:rFonts w:cstheme="majorBidi"/>
          <w:sz w:val="21"/>
          <w:szCs w:val="21"/>
        </w:rPr>
        <w:t>institutional humiliation</w:t>
      </w:r>
      <w:r w:rsidR="00D01B38" w:rsidRPr="009C0656">
        <w:rPr>
          <w:rFonts w:cstheme="majorBidi"/>
          <w:sz w:val="21"/>
          <w:szCs w:val="21"/>
        </w:rPr>
        <w:t xml:space="preserve">. </w:t>
      </w:r>
      <w:r w:rsidR="00F11441" w:rsidRPr="009C0656">
        <w:rPr>
          <w:rFonts w:cstheme="majorBidi"/>
          <w:sz w:val="21"/>
          <w:szCs w:val="21"/>
        </w:rPr>
        <w:t>The Great Migration and the Depression brought many Black migrants to northern cities in circumstances of poverty, illness, unemployment, and institutional humiliation. For the NOI’s founding constituency, these conditions provided an embodied basis through which the movement’s cosmology</w:t>
      </w:r>
      <w:r w:rsidR="00EB4F29" w:rsidRPr="009C0656">
        <w:rPr>
          <w:rFonts w:cstheme="majorBidi"/>
          <w:sz w:val="21"/>
          <w:szCs w:val="21"/>
        </w:rPr>
        <w:t xml:space="preserve"> acquired </w:t>
      </w:r>
      <w:r w:rsidR="00F11441" w:rsidRPr="009C0656">
        <w:rPr>
          <w:rFonts w:cstheme="majorBidi"/>
          <w:sz w:val="21"/>
          <w:szCs w:val="21"/>
        </w:rPr>
        <w:t>everyday plausibility. Hunger, disease, insecure employment, and experiences on the relief line made claims about a ‘devilish’ civilisation materially perceptible.</w:t>
      </w:r>
    </w:p>
    <w:p w14:paraId="5E9053B3" w14:textId="39B7ABF4" w:rsidR="00D40173" w:rsidRPr="009C0656" w:rsidRDefault="00AB69BA" w:rsidP="009C0656">
      <w:pPr>
        <w:spacing w:line="360" w:lineRule="auto"/>
        <w:jc w:val="both"/>
      </w:pPr>
      <w:r w:rsidRPr="009C0656">
        <w:lastRenderedPageBreak/>
        <w:t>The movement’s bodily and material deprivation frame recast individual hardship as collective and structurally produced suffering with identifiable causes. Many early converts were Southern migrants concentrated in deteriorating districts such as ‘the slum section around Hastings Street’, living in overcrowded and substandard housing. The environmental transition from the rural South to industrial Detroit also produced tangible health effects, including rheumatism, respiratory illness, and chronic ailments (Beynon, 1938, p. 905). Labour-market exclusion intensified these conditions, as Black Detroiters experienced the Depression disproportionately through the insecurity of being last hired and first fired (Sundstrom, 1992). Welfare dependence increased rapidly among a population that had migrated north in anticipation of industrial opportunity, while encounters with welfare officials could reproduce racial humiliation at the point of greatest material vulnerability (Beynon, 1938, p. 899).</w:t>
      </w:r>
    </w:p>
    <w:p w14:paraId="77CCCD74" w14:textId="5E9683B3" w:rsidR="0021176D" w:rsidRPr="009C0656" w:rsidRDefault="00E0333A" w:rsidP="009C0656">
      <w:pPr>
        <w:spacing w:line="360" w:lineRule="auto"/>
        <w:jc w:val="both"/>
      </w:pPr>
      <w:r w:rsidRPr="009C0656">
        <w:t xml:space="preserve">Fard incorporated these conditions into the movement’s counter-curriculum through a series of arithmetic word problems. The </w:t>
      </w:r>
      <w:r w:rsidRPr="009C0656">
        <w:rPr>
          <w:i/>
          <w:iCs/>
        </w:rPr>
        <w:t>Problem Book</w:t>
      </w:r>
      <w:r w:rsidRPr="009C0656">
        <w:t xml:space="preserve"> explicitly situates some exercises </w:t>
      </w:r>
      <w:r w:rsidR="00AC7388" w:rsidRPr="009C0656">
        <w:t>in</w:t>
      </w:r>
      <w:r w:rsidRPr="009C0656">
        <w:t xml:space="preserve"> Detroit’s Black community during ‘hard times for the lack of jobs’, translating shortened life expectancy and dietary deprivation into numerical problems (F. Muhammad, 1934</w:t>
      </w:r>
      <w:r w:rsidR="003731A8" w:rsidRPr="009C0656">
        <w:t>, The Problem Book, Problem 9</w:t>
      </w:r>
      <w:r w:rsidRPr="009C0656">
        <w:t>).</w:t>
      </w:r>
      <w:r w:rsidR="0021176D" w:rsidRPr="009C0656">
        <w:t xml:space="preserve"> </w:t>
      </w:r>
      <w:r w:rsidR="00C8064E" w:rsidRPr="009C0656">
        <w:t xml:space="preserve">Whereas the dominant welfare system had quantified the community's suffering merely to administer and manage their impoverishment, the NOI’s curriculum reclaims those same conditions as data points in a system of political diagnosis. </w:t>
      </w:r>
      <w:r w:rsidR="0021176D" w:rsidRPr="009C0656">
        <w:t xml:space="preserve">The mathematical form </w:t>
      </w:r>
      <w:r w:rsidR="00A82723" w:rsidRPr="009C0656">
        <w:t>a</w:t>
      </w:r>
      <w:r w:rsidR="0021176D" w:rsidRPr="009C0656">
        <w:t xml:space="preserve">pplies the same pseudo-scientific </w:t>
      </w:r>
      <w:r w:rsidR="006B7B1B" w:rsidRPr="009C0656">
        <w:t xml:space="preserve">framing </w:t>
      </w:r>
      <w:r w:rsidR="000B18CE" w:rsidRPr="009C0656">
        <w:t>that</w:t>
      </w:r>
      <w:r w:rsidR="0021176D" w:rsidRPr="009C0656">
        <w:t xml:space="preserve"> the movement uses for cosmological claims to the immediate conditions of members</w:t>
      </w:r>
      <w:r w:rsidR="006C1B80" w:rsidRPr="009C0656">
        <w:t>’</w:t>
      </w:r>
      <w:r w:rsidR="0021176D" w:rsidRPr="009C0656">
        <w:t xml:space="preserve"> lives</w:t>
      </w:r>
      <w:r w:rsidR="006B7B1B" w:rsidRPr="009C0656">
        <w:t>.</w:t>
      </w:r>
    </w:p>
    <w:p w14:paraId="21FABFF0" w14:textId="7A96619B" w:rsidR="0096490B" w:rsidRPr="009C0656" w:rsidRDefault="00816485" w:rsidP="009C0656">
      <w:pPr>
        <w:spacing w:line="360" w:lineRule="auto"/>
        <w:jc w:val="both"/>
      </w:pPr>
      <w:r w:rsidRPr="009C0656">
        <w:t xml:space="preserve">Food provides a direct connection between diagnosis and bodily experience. Fard initially appeared among migrants as a silk peddler, selling fabrics described as ‘the same kind that our people used in their home country’, before turning attention to the food they consumed and describing it as poisonous and culturally alien (Beynon, 1938, p. 895). Dietary law and ascetic discipline provided a prognostic response. </w:t>
      </w:r>
      <w:r w:rsidR="00710F85" w:rsidRPr="009C0656">
        <w:t xml:space="preserve">The bodily suffering the migrants were already experiencing is reframed; ailments previously understood as the incidental hardships of urban migration are revealed as the predictable consequence of eating </w:t>
      </w:r>
      <w:r w:rsidR="00087861" w:rsidRPr="009C0656">
        <w:t>‘</w:t>
      </w:r>
      <w:r w:rsidR="00710F85" w:rsidRPr="009C0656">
        <w:t>poison food</w:t>
      </w:r>
      <w:r w:rsidR="00087861" w:rsidRPr="009C0656">
        <w:t>’</w:t>
      </w:r>
      <w:r w:rsidR="00710F85" w:rsidRPr="009C0656">
        <w:t xml:space="preserve"> in the devil’s civilisation.</w:t>
      </w:r>
      <w:r w:rsidR="0096490B" w:rsidRPr="009C0656">
        <w:t xml:space="preserve"> The diagnosis converts passive suffering into legible </w:t>
      </w:r>
      <w:r w:rsidR="00B43B0C" w:rsidRPr="009C0656">
        <w:t>crisis</w:t>
      </w:r>
      <w:r w:rsidR="0096490B" w:rsidRPr="009C0656">
        <w:t xml:space="preserve"> with an identifiable cause, which is the foundational operation of any effective diagnostic frame.</w:t>
      </w:r>
    </w:p>
    <w:p w14:paraId="683FD8DD" w14:textId="37945933" w:rsidR="00334D34" w:rsidRPr="009C0656" w:rsidRDefault="00E27676" w:rsidP="009C0656">
      <w:pPr>
        <w:spacing w:line="360" w:lineRule="auto"/>
        <w:jc w:val="both"/>
      </w:pPr>
      <w:r w:rsidRPr="009C0656">
        <w:t>Fard (1934</w:t>
      </w:r>
      <w:r w:rsidR="00240AAA" w:rsidRPr="009C0656">
        <w:t>, The Problem Book, Problems 1–2, 5–6</w:t>
      </w:r>
      <w:r w:rsidRPr="009C0656">
        <w:t xml:space="preserve">) develops this logic through word problems concerning an ‘uncle’ living in the ‘wilderness of North America’, whose ill health is presented as the calculable consequence of improper diet and of ‘living other than himself’. Bodily illness becomes evidence of a deeper dislocation between the individual and the identity prescribed by the movement. </w:t>
      </w:r>
      <w:r w:rsidR="00EB4F29" w:rsidRPr="009C0656">
        <w:t xml:space="preserve">Since </w:t>
      </w:r>
      <w:r w:rsidRPr="009C0656">
        <w:t xml:space="preserve">dietary reform </w:t>
      </w:r>
      <w:r w:rsidR="00EB4F29" w:rsidRPr="009C0656">
        <w:t xml:space="preserve">produced </w:t>
      </w:r>
      <w:r w:rsidRPr="009C0656">
        <w:t xml:space="preserve">observable changes in members’ physical experience, it also created a domain in which the diagnostic frame </w:t>
      </w:r>
      <w:r w:rsidR="00EB4F29" w:rsidRPr="009C0656">
        <w:t xml:space="preserve">received </w:t>
      </w:r>
      <w:r w:rsidRPr="009C0656">
        <w:t xml:space="preserve">experiential confirmation. Health improvement following adoption of the prescribed regimen could </w:t>
      </w:r>
      <w:r w:rsidR="00AC7388" w:rsidRPr="009C0656">
        <w:t xml:space="preserve">then serve </w:t>
      </w:r>
      <w:r w:rsidRPr="009C0656">
        <w:t>as evidence that the movement’s account of bodily corruption and restoration corresponded with lived experience.</w:t>
      </w:r>
    </w:p>
    <w:p w14:paraId="5EBCD7D6" w14:textId="66610526" w:rsidR="0072538D" w:rsidRPr="009C0656" w:rsidRDefault="0072538D" w:rsidP="009C0656">
      <w:pPr>
        <w:spacing w:line="360" w:lineRule="auto"/>
        <w:jc w:val="both"/>
      </w:pPr>
    </w:p>
    <w:p w14:paraId="46AC58E8" w14:textId="426D2BA6" w:rsidR="00424FF8" w:rsidRPr="009C0656" w:rsidRDefault="00AB5D8E" w:rsidP="009C0656">
      <w:pPr>
        <w:pStyle w:val="TNRHeading3"/>
        <w:spacing w:line="360" w:lineRule="auto"/>
        <w:jc w:val="both"/>
        <w:rPr>
          <w:color w:val="auto"/>
        </w:rPr>
      </w:pPr>
      <w:r w:rsidRPr="009C0656">
        <w:rPr>
          <w:color w:val="auto"/>
        </w:rPr>
        <w:lastRenderedPageBreak/>
        <w:t>External Diagnoses</w:t>
      </w:r>
    </w:p>
    <w:p w14:paraId="11A282CA" w14:textId="4FE45522" w:rsidR="00742E2A" w:rsidRPr="009C0656" w:rsidRDefault="00040830" w:rsidP="009C0656">
      <w:pPr>
        <w:spacing w:line="360" w:lineRule="auto"/>
        <w:jc w:val="both"/>
      </w:pPr>
      <w:r w:rsidRPr="009C0656">
        <w:t>Period 1 is also illuminated by external accounts that provide distinct interpretations of the same structural conditions addressed by Fard and Elijah Muhammad. Beyond the FBI material discussed in ‘State Surveillance and Frame Contest’, Beynon’s (1938) sociological study and Sahib’s (1995 [1951]) analysis remain the principal sources for the early movement. Both preserve valuable empirical observations and, at points, the movement’s own voice, while interpreting its emergence through their own conceptual frameworks. Their accounts provide competing diagnoses of the same population and historical conditions.</w:t>
      </w:r>
    </w:p>
    <w:p w14:paraId="29EA0214" w14:textId="537B67A0" w:rsidR="00742E2A" w:rsidRPr="009C0656" w:rsidRDefault="00534AF4" w:rsidP="009C0656">
      <w:pPr>
        <w:spacing w:line="360" w:lineRule="auto"/>
        <w:jc w:val="both"/>
      </w:pPr>
      <w:r w:rsidRPr="009C0656">
        <w:t>Beynon (1938) frames the conditions producing the NOI</w:t>
      </w:r>
      <w:r w:rsidR="006C1B80" w:rsidRPr="009C0656">
        <w:t>’</w:t>
      </w:r>
      <w:r w:rsidRPr="009C0656">
        <w:t xml:space="preserve">s early membership in terms of material dislocation and unmet expectation. His account records that migrants </w:t>
      </w:r>
      <w:r w:rsidR="006C1B80" w:rsidRPr="009C0656">
        <w:t>‘</w:t>
      </w:r>
      <w:r w:rsidRPr="009C0656">
        <w:t>did not find life in the North as pleasant as they had expected</w:t>
      </w:r>
      <w:r w:rsidR="00B50CF6" w:rsidRPr="009C0656">
        <w:t xml:space="preserve"> […]</w:t>
      </w:r>
      <w:r w:rsidR="00BD3624" w:rsidRPr="009C0656">
        <w:t xml:space="preserve"> </w:t>
      </w:r>
      <w:r w:rsidRPr="009C0656">
        <w:t>The depression deprived them of their means of livelihood, and they suffered their first experience of urban destitution</w:t>
      </w:r>
      <w:r w:rsidR="006C1B80" w:rsidRPr="009C0656">
        <w:t>’</w:t>
      </w:r>
      <w:r w:rsidRPr="009C0656">
        <w:t xml:space="preserve"> (</w:t>
      </w:r>
      <w:r w:rsidR="00983ABC" w:rsidRPr="009C0656">
        <w:t>ibid.</w:t>
      </w:r>
      <w:r w:rsidR="00DE361C" w:rsidRPr="009C0656">
        <w:t>,</w:t>
      </w:r>
      <w:r w:rsidR="00EC1013" w:rsidRPr="009C0656">
        <w:t xml:space="preserve"> p. </w:t>
      </w:r>
      <w:r w:rsidR="002437D1" w:rsidRPr="009C0656">
        <w:t>899</w:t>
      </w:r>
      <w:r w:rsidRPr="009C0656">
        <w:t xml:space="preserve">). </w:t>
      </w:r>
      <w:r w:rsidR="00EF64DA" w:rsidRPr="009C0656">
        <w:t>T</w:t>
      </w:r>
      <w:r w:rsidRPr="009C0656">
        <w:t xml:space="preserve">he structural conditions </w:t>
      </w:r>
      <w:r w:rsidR="002F5A46" w:rsidRPr="009C0656">
        <w:t xml:space="preserve">of unemployment, housing deterioration, the collapse of institutional support, and extreme poverty </w:t>
      </w:r>
      <w:r w:rsidRPr="009C0656">
        <w:t xml:space="preserve">are </w:t>
      </w:r>
      <w:r w:rsidR="002F5A46" w:rsidRPr="009C0656">
        <w:t xml:space="preserve">all </w:t>
      </w:r>
      <w:r w:rsidRPr="009C0656">
        <w:t>diagnosed as an economic and social crisis whose primary effects are material. The explanation for the NOI</w:t>
      </w:r>
      <w:r w:rsidR="006C1B80" w:rsidRPr="009C0656">
        <w:t>’</w:t>
      </w:r>
      <w:r w:rsidRPr="009C0656">
        <w:t>s appeal follows from this premise</w:t>
      </w:r>
      <w:r w:rsidR="002F5A46" w:rsidRPr="009C0656">
        <w:t>.</w:t>
      </w:r>
      <w:r w:rsidRPr="009C0656">
        <w:t xml:space="preserve"> Beynon</w:t>
      </w:r>
      <w:r w:rsidR="00F9402D" w:rsidRPr="009C0656">
        <w:t xml:space="preserve"> (</w:t>
      </w:r>
      <w:r w:rsidR="00293564" w:rsidRPr="009C0656">
        <w:t>ibid.</w:t>
      </w:r>
      <w:r w:rsidR="002A571E" w:rsidRPr="009C0656">
        <w:t xml:space="preserve">, p. </w:t>
      </w:r>
      <w:r w:rsidR="00293564" w:rsidRPr="009C0656">
        <w:t>900</w:t>
      </w:r>
      <w:r w:rsidR="00F9402D" w:rsidRPr="009C0656">
        <w:t>)</w:t>
      </w:r>
      <w:r w:rsidRPr="009C0656">
        <w:t xml:space="preserve"> identifies the movement</w:t>
      </w:r>
      <w:r w:rsidR="006C1B80" w:rsidRPr="009C0656">
        <w:t>’</w:t>
      </w:r>
      <w:r w:rsidRPr="009C0656">
        <w:t xml:space="preserve">s early members as </w:t>
      </w:r>
      <w:r w:rsidR="006C1B80" w:rsidRPr="009C0656">
        <w:t>‘</w:t>
      </w:r>
      <w:r w:rsidRPr="009C0656">
        <w:t>maladjusted migrant Negroes</w:t>
      </w:r>
      <w:r w:rsidR="006C1B80" w:rsidRPr="009C0656">
        <w:t>’</w:t>
      </w:r>
      <w:r w:rsidRPr="009C0656">
        <w:t xml:space="preserve"> </w:t>
      </w:r>
      <w:r w:rsidR="00C203E9" w:rsidRPr="009C0656">
        <w:t>who encountered Fard in informal domestic settings</w:t>
      </w:r>
      <w:r w:rsidR="00293564" w:rsidRPr="009C0656">
        <w:t>. This</w:t>
      </w:r>
      <w:r w:rsidR="00C203E9" w:rsidRPr="009C0656">
        <w:t xml:space="preserve"> characterisation locates their receptivity in experiences of social disorganisation </w:t>
      </w:r>
      <w:r w:rsidR="00557931" w:rsidRPr="009C0656">
        <w:t xml:space="preserve">in place of </w:t>
      </w:r>
      <w:r w:rsidR="00C203E9" w:rsidRPr="009C0656">
        <w:t>the intellectual or ideological content of the movement itself.</w:t>
      </w:r>
    </w:p>
    <w:p w14:paraId="345E18C8" w14:textId="55DD9018" w:rsidR="00320DD1" w:rsidRPr="009C0656" w:rsidRDefault="00E71CDC" w:rsidP="009C0656">
      <w:pPr>
        <w:spacing w:line="360" w:lineRule="auto"/>
        <w:jc w:val="both"/>
      </w:pPr>
      <w:r w:rsidRPr="009C0656">
        <w:t xml:space="preserve">This interpretation reflects a wider strain-based approach </w:t>
      </w:r>
      <w:r w:rsidR="00024EC8" w:rsidRPr="009C0656">
        <w:t>in the</w:t>
      </w:r>
      <w:r w:rsidRPr="009C0656">
        <w:t xml:space="preserve"> early sociology of religion and new religious movements, where participation is explained through responses to deprivation and social disorganisation (Weber, 1963 [1922]; Glock, 1964; Stark &amp; Bainbridge, 1987). </w:t>
      </w:r>
      <w:r w:rsidR="00024EC8" w:rsidRPr="009C0656">
        <w:t>E</w:t>
      </w:r>
      <w:r w:rsidRPr="009C0656">
        <w:t>conomic insecurity produces vulnerability, which increases receptivity to alternative religious forms. Such an account helps explain why particular populations might seek new explanations of their circumstances, while giving less explanatory weight to why the NOI’s specific doctrines proved persuasive. The movement’s ideological content appears largely secondary to the conditions of its audience.</w:t>
      </w:r>
    </w:p>
    <w:p w14:paraId="1BC1185B" w14:textId="7448CD05" w:rsidR="00151FE8" w:rsidRPr="009C0656" w:rsidRDefault="00935AB3" w:rsidP="009C0656">
      <w:pPr>
        <w:spacing w:line="360" w:lineRule="auto"/>
        <w:jc w:val="both"/>
      </w:pPr>
      <w:r w:rsidRPr="009C0656">
        <w:t xml:space="preserve">Sahib (1995 [1951]) develops a related diagnosis through anomie. He argues that Northern migration weakened established ‘mores and social controls’, leaving migrants ‘restless […] experiencing a condition of anomie which is responsible for being loose, dissatisfied, and confused’ (ibid., p. 32). The movement’s appeal is located in diminished social integration and the resulting search for belonging and certainty. Sahib (ibid., p. 31) further argues that members ‘blame their difference and incapabilities either on the white people or the upper class of the Negroes’, a formulation that traces the movement </w:t>
      </w:r>
      <w:r w:rsidR="00E82A2D" w:rsidRPr="009C0656">
        <w:t>in</w:t>
      </w:r>
      <w:r w:rsidRPr="009C0656">
        <w:t xml:space="preserve"> what would become a recurring </w:t>
      </w:r>
      <w:proofErr w:type="spellStart"/>
      <w:r w:rsidRPr="009C0656">
        <w:t>pathologising</w:t>
      </w:r>
      <w:proofErr w:type="spellEnd"/>
      <w:r w:rsidRPr="009C0656">
        <w:t xml:space="preserve"> account of its constituency. </w:t>
      </w:r>
      <w:r w:rsidR="00E82A2D" w:rsidRPr="009C0656">
        <w:t xml:space="preserve">Such a </w:t>
      </w:r>
      <w:r w:rsidRPr="009C0656">
        <w:t>perspective contributed to early classifications of the NOI as a ‘cult’, placing the movement outside established categories of legitimate religious organisation.</w:t>
      </w:r>
    </w:p>
    <w:p w14:paraId="7013108D" w14:textId="4FDA2C49" w:rsidR="00EC7488" w:rsidRPr="009C0656" w:rsidRDefault="00FC73AD" w:rsidP="009C0656">
      <w:pPr>
        <w:spacing w:line="360" w:lineRule="auto"/>
        <w:jc w:val="both"/>
      </w:pPr>
      <w:r w:rsidRPr="009C0656">
        <w:lastRenderedPageBreak/>
        <w:t xml:space="preserve">Sahib also interprets the movement’s internal hierarchy through compensatory status. Drawing on Wirth’s observation that ‘there is no buck private in the minority groups but all the members are officers’, he argues that members were attracted by opportunities for status and prestige otherwise unavailable </w:t>
      </w:r>
      <w:r w:rsidR="00E82A2D" w:rsidRPr="009C0656">
        <w:t>throughout</w:t>
      </w:r>
      <w:r w:rsidRPr="009C0656">
        <w:t xml:space="preserve"> the dominant social order: ‘these persons are seeking status and prestige and therefore to be officers might be the only appealing element that holds them to the organization’ (ibid., p. 15). This highlights the importance of organisational roles in recruitment and </w:t>
      </w:r>
      <w:proofErr w:type="gramStart"/>
      <w:r w:rsidRPr="009C0656">
        <w:t>retention, yet</w:t>
      </w:r>
      <w:proofErr w:type="gramEnd"/>
      <w:r w:rsidRPr="009C0656">
        <w:t xml:space="preserve"> reduces their significance to psychological compensation. The religious and political meanings members attached to those roles receive limited analytical attention.</w:t>
      </w:r>
    </w:p>
    <w:p w14:paraId="1DC849D5" w14:textId="1A8EF754" w:rsidR="00FC73AD" w:rsidRPr="009C0656" w:rsidRDefault="00FC73AD" w:rsidP="009C0656">
      <w:pPr>
        <w:spacing w:line="360" w:lineRule="auto"/>
        <w:jc w:val="both"/>
      </w:pPr>
      <w:r w:rsidRPr="009C0656">
        <w:t>These external diagnoses are valuable accounts of the conditions surrounding early mobilisation, while their explanatory categories reflect particular theoretical positions. They treat the existing social order as the baseline against which maladjustment, anomie, or compensatory behaviour are assessed. The NOI’s diagnostic frame proceeds from a different premise</w:t>
      </w:r>
      <w:r w:rsidR="00B126A3" w:rsidRPr="009C0656">
        <w:t>, namely that</w:t>
      </w:r>
      <w:r w:rsidRPr="009C0656">
        <w:t xml:space="preserve"> the existing order itself constitutes the source of crisis. Experiences interpreted externally through social disorganisation or status deprivation are interpreted within the movement as evidence of structural oppression and the recovery of suppressed knowledge. The divergence lies in the perspective from which the same conditions are rendered intelligible, producing different accounts of rationality, recognition, and legitimate knowledge.</w:t>
      </w:r>
    </w:p>
    <w:p w14:paraId="5F01FD87" w14:textId="0CBA9C77" w:rsidR="005A4275" w:rsidRPr="009C0656" w:rsidRDefault="003D5F76" w:rsidP="009C0656">
      <w:pPr>
        <w:spacing w:line="360" w:lineRule="auto"/>
        <w:jc w:val="both"/>
      </w:pPr>
      <w:r w:rsidRPr="009C0656">
        <w:t xml:space="preserve">Independently of whether its theological claims are true, the NOI’s interpretive framework constitutes an empirical </w:t>
      </w:r>
      <w:r w:rsidR="0001242F" w:rsidRPr="009C0656">
        <w:t>subject</w:t>
      </w:r>
      <w:r w:rsidRPr="009C0656">
        <w:t xml:space="preserve"> through which the relationship between external hostility and movement </w:t>
      </w:r>
      <w:proofErr w:type="gramStart"/>
      <w:r w:rsidRPr="009C0656">
        <w:t>meaning-making</w:t>
      </w:r>
      <w:proofErr w:type="gramEnd"/>
      <w:r w:rsidRPr="009C0656">
        <w:t xml:space="preserve"> can be examined. State surveillance, academic criticism, and press hostility were repeatedly incorporated into the movement’s existing diagnostic vocabulary and interpreted as evidence of the conditions it sought to explain. </w:t>
      </w:r>
      <w:r w:rsidR="0001242F" w:rsidRPr="009C0656">
        <w:t xml:space="preserve">This </w:t>
      </w:r>
      <w:r w:rsidRPr="009C0656">
        <w:t>mechanism of frame maintenance, through which external events were assigned meaning within an already established causal account</w:t>
      </w:r>
      <w:r w:rsidR="007647B7" w:rsidRPr="009C0656">
        <w:t>, is significant</w:t>
      </w:r>
      <w:r w:rsidR="002F7C3F" w:rsidRPr="009C0656">
        <w:t xml:space="preserve"> through Period 1</w:t>
      </w:r>
      <w:r w:rsidRPr="009C0656">
        <w:t xml:space="preserve">. </w:t>
      </w:r>
      <w:r w:rsidR="007647B7" w:rsidRPr="009C0656">
        <w:t>T</w:t>
      </w:r>
      <w:r w:rsidRPr="009C0656">
        <w:t xml:space="preserve">exts and testimonies provide empirical traces, arrests, prosecutions, and institutional classifications constitute actual events, while the carceral state and contested status of the NOI as a religious organisation form part of the deeper structural conditions within which these interpretations acquired </w:t>
      </w:r>
      <w:r w:rsidR="00BD2D6F" w:rsidRPr="009C0656">
        <w:t>strength</w:t>
      </w:r>
      <w:r w:rsidRPr="009C0656">
        <w:t>. The movement’s logic can be treated as a causal phenomenon requiring explanation, with its own accounts serving as evidence of how those mechanisms were interpreted.</w:t>
      </w:r>
    </w:p>
    <w:p w14:paraId="53E2C7EC" w14:textId="77777777" w:rsidR="0005237A" w:rsidRPr="009C0656" w:rsidRDefault="0005237A" w:rsidP="009C0656">
      <w:pPr>
        <w:spacing w:line="360" w:lineRule="auto"/>
        <w:jc w:val="both"/>
        <w:rPr>
          <w:rFonts w:eastAsiaTheme="majorEastAsia" w:cstheme="majorBidi"/>
          <w:bCs/>
          <w:sz w:val="32"/>
          <w:szCs w:val="32"/>
        </w:rPr>
      </w:pPr>
      <w:r w:rsidRPr="009C0656">
        <w:br w:type="page"/>
      </w:r>
    </w:p>
    <w:p w14:paraId="7CBAEC9F" w14:textId="3628BCE1" w:rsidR="00201575" w:rsidRPr="009C0656" w:rsidRDefault="00201575" w:rsidP="009C0656">
      <w:pPr>
        <w:pStyle w:val="TNRHeading2"/>
        <w:spacing w:line="360" w:lineRule="auto"/>
        <w:jc w:val="both"/>
        <w:rPr>
          <w:color w:val="auto"/>
        </w:rPr>
      </w:pPr>
      <w:r w:rsidRPr="009C0656">
        <w:rPr>
          <w:color w:val="auto"/>
        </w:rPr>
        <w:lastRenderedPageBreak/>
        <w:t>Prognostic Framing</w:t>
      </w:r>
    </w:p>
    <w:p w14:paraId="75608E3C" w14:textId="3070D2E3" w:rsidR="001B18A7" w:rsidRPr="009C0656" w:rsidRDefault="001B18A7" w:rsidP="009C0656">
      <w:pPr>
        <w:spacing w:line="360" w:lineRule="auto"/>
        <w:jc w:val="both"/>
      </w:pPr>
      <w:r w:rsidRPr="009C0656">
        <w:t xml:space="preserve">Where the diagnostic frame reconstructed above identifies the mechanisms of oppression, the prognostic frame examined below traces the same leadership agency redirected toward constructing a remedy, read </w:t>
      </w:r>
      <w:proofErr w:type="spellStart"/>
      <w:r w:rsidRPr="009C0656">
        <w:t>retroductively</w:t>
      </w:r>
      <w:proofErr w:type="spellEnd"/>
      <w:r w:rsidRPr="009C0656">
        <w:t xml:space="preserve"> from the movement’s prescriptive texts back to the generative claims about knowledge and authority they presuppose.</w:t>
      </w:r>
    </w:p>
    <w:p w14:paraId="172A91EF" w14:textId="1ECE959D" w:rsidR="00F27728" w:rsidRPr="009C0656" w:rsidRDefault="00F27728" w:rsidP="009C0656">
      <w:pPr>
        <w:pStyle w:val="TNRHeading3"/>
        <w:spacing w:line="360" w:lineRule="auto"/>
        <w:jc w:val="both"/>
        <w:rPr>
          <w:color w:val="auto"/>
        </w:rPr>
      </w:pPr>
      <w:r w:rsidRPr="009C0656">
        <w:rPr>
          <w:color w:val="auto"/>
        </w:rPr>
        <w:t>Restoration of Original Knowledge</w:t>
      </w:r>
    </w:p>
    <w:p w14:paraId="0486AA46" w14:textId="4A815F67" w:rsidR="005C73B5" w:rsidRPr="009C0656" w:rsidRDefault="00A209E3" w:rsidP="009C0656">
      <w:pPr>
        <w:spacing w:line="360" w:lineRule="auto"/>
        <w:jc w:val="both"/>
      </w:pPr>
      <w:r w:rsidRPr="009C0656">
        <w:t>Underlying the NOI’s solutions is the prognostic claim that liberation begins with the recovery of knowledge. The movement’s response to engineered ignorance is revealed knowledge transmitted through an authorised chain, internalised through study and memorised recitation. This epistemic conversion underpins the wider prognostic frame by establishing why members should adopt its prescribed practices and what those practices are understood to restore.</w:t>
      </w:r>
    </w:p>
    <w:p w14:paraId="3D3EE33F" w14:textId="39F7A9E0" w:rsidR="005C73B5" w:rsidRPr="009C0656" w:rsidRDefault="006A7EFD" w:rsidP="009C0656">
      <w:pPr>
        <w:spacing w:line="360" w:lineRule="auto"/>
        <w:jc w:val="both"/>
      </w:pPr>
      <w:r w:rsidRPr="009C0656">
        <w:t xml:space="preserve">The </w:t>
      </w:r>
      <w:r w:rsidRPr="009C0656">
        <w:rPr>
          <w:i/>
          <w:iCs/>
        </w:rPr>
        <w:t>SWL</w:t>
      </w:r>
      <w:r w:rsidRPr="009C0656">
        <w:t xml:space="preserve"> establishes this process at the outset: ‘THE FOLLOWING is the Original Rules of Instruction to the Laborers of Islam and the TITLE OF MUSLIM Given by OUR SAVIOUR before HIS Departure’ (F. Muhammad, 1934</w:t>
      </w:r>
      <w:r w:rsidR="008E2884" w:rsidRPr="009C0656">
        <w:t>, Original Rules of Instruction</w:t>
      </w:r>
      <w:r w:rsidRPr="009C0656">
        <w:t xml:space="preserve">). The ‘Rules of Instruction’ are presented as direct transmissions from the Saviour, giving the text both pedagogical and succession-related authority. The rules require that ‘Each Student should copy the Answers of Lesson of Minister, Elijah Muhammad, and study until the </w:t>
      </w:r>
      <w:proofErr w:type="gramStart"/>
      <w:r w:rsidRPr="009C0656">
        <w:t>Student</w:t>
      </w:r>
      <w:proofErr w:type="gramEnd"/>
      <w:r w:rsidRPr="009C0656">
        <w:t xml:space="preserve"> is able to memorize, By Heart, all Answers’ (ibid.</w:t>
      </w:r>
      <w:r w:rsidR="00113FD1" w:rsidRPr="009C0656">
        <w:t>, Original Rules of Instruction, Rule 1</w:t>
      </w:r>
      <w:r w:rsidRPr="009C0656">
        <w:t xml:space="preserve">). </w:t>
      </w:r>
      <w:r w:rsidR="005C73B5" w:rsidRPr="009C0656">
        <w:t xml:space="preserve">Knowledge is transmitted verbatim </w:t>
      </w:r>
      <w:r w:rsidR="00D519A5" w:rsidRPr="009C0656">
        <w:t xml:space="preserve">and </w:t>
      </w:r>
      <w:r w:rsidR="005C73B5" w:rsidRPr="009C0656">
        <w:t>the student</w:t>
      </w:r>
      <w:r w:rsidR="006C1B80" w:rsidRPr="009C0656">
        <w:t>’</w:t>
      </w:r>
      <w:r w:rsidR="005C73B5" w:rsidRPr="009C0656">
        <w:t>s task is not to reason toward truth but to receive and internalise a fixed body of revelation whose accuracy is guaranteed by the chain of authority through which it descends. The authority structure is inseparable from the epistemological claim</w:t>
      </w:r>
      <w:r w:rsidR="00D519A5" w:rsidRPr="009C0656">
        <w:t>, where</w:t>
      </w:r>
      <w:r w:rsidR="005C73B5" w:rsidRPr="009C0656">
        <w:t xml:space="preserve"> the knowledge is true because of who revealed it, and the act of memorisation is an act of submission to that authority.</w:t>
      </w:r>
    </w:p>
    <w:p w14:paraId="30A0BAFC" w14:textId="230BAD4B" w:rsidR="005C73B5" w:rsidRPr="009C0656" w:rsidRDefault="00B5077D" w:rsidP="009C0656">
      <w:pPr>
        <w:spacing w:line="360" w:lineRule="auto"/>
        <w:jc w:val="both"/>
      </w:pPr>
      <w:r w:rsidRPr="009C0656">
        <w:t xml:space="preserve">The </w:t>
      </w:r>
      <w:r w:rsidRPr="009C0656">
        <w:rPr>
          <w:i/>
          <w:iCs/>
        </w:rPr>
        <w:t>Lessons</w:t>
      </w:r>
      <w:r w:rsidRPr="009C0656">
        <w:t xml:space="preserve"> promise knowledge capable of resolving questions of identity, origin, belonging, and enmity: ‘LESSON #1 lays the Base of our Work today; and gives the Student a Clear Knowledge of Himself and His Heavenly Home... and who is the enemy to him and his Nation’ (ibid.). This knowledge restores what the movement presents as an original truth suppressed through racial domination. John Mohammed’s (1934) address captures this logic: ‘Now our Prophet Fard Mohammed has made us to know the truth of ourselves, that we, the black Asiatic Nation, are the God and owner of the Planet Earth.’ The prophet activates a truth understood to have been obscured rather than creates a new identity. Epistemic restoration becomes the foundation for the wider recovery of Black identity and collective agency.</w:t>
      </w:r>
    </w:p>
    <w:p w14:paraId="213219E2" w14:textId="41D0F362" w:rsidR="005C73B5" w:rsidRPr="009C0656" w:rsidRDefault="006C1B80" w:rsidP="009C0656">
      <w:pPr>
        <w:spacing w:line="360" w:lineRule="auto"/>
        <w:jc w:val="both"/>
      </w:pPr>
      <w:r w:rsidRPr="009C0656">
        <w:t>‘</w:t>
      </w:r>
      <w:r w:rsidR="005C73B5" w:rsidRPr="009C0656">
        <w:t>Study your lessons,</w:t>
      </w:r>
      <w:r w:rsidRPr="009C0656">
        <w:t>’</w:t>
      </w:r>
      <w:r w:rsidR="00C872C8" w:rsidRPr="009C0656">
        <w:t xml:space="preserve"> Fard</w:t>
      </w:r>
      <w:r w:rsidR="00F96490" w:rsidRPr="009C0656">
        <w:t xml:space="preserve"> Muhammad</w:t>
      </w:r>
      <w:r w:rsidR="00C872C8" w:rsidRPr="009C0656">
        <w:t xml:space="preserve"> (</w:t>
      </w:r>
      <w:r w:rsidR="00923CFE" w:rsidRPr="009C0656">
        <w:t>1933a</w:t>
      </w:r>
      <w:r w:rsidR="00C872C8" w:rsidRPr="009C0656">
        <w:t>) instructs Elijah</w:t>
      </w:r>
      <w:r w:rsidR="000B58E0" w:rsidRPr="009C0656">
        <w:t xml:space="preserve"> Muhammad</w:t>
      </w:r>
      <w:r w:rsidR="00C872C8" w:rsidRPr="009C0656">
        <w:t>,</w:t>
      </w:r>
      <w:r w:rsidR="005C73B5" w:rsidRPr="009C0656">
        <w:t xml:space="preserve"> </w:t>
      </w:r>
      <w:r w:rsidRPr="009C0656">
        <w:t>‘</w:t>
      </w:r>
      <w:r w:rsidR="005C73B5" w:rsidRPr="009C0656">
        <w:t>the wonders you are doing which is measured and it MAKE THEM ALL OF THE WEALTH IN THE WORLD</w:t>
      </w:r>
      <w:r w:rsidR="006A71B1" w:rsidRPr="009C0656">
        <w:t>.</w:t>
      </w:r>
      <w:r w:rsidRPr="009C0656">
        <w:t>’</w:t>
      </w:r>
      <w:r w:rsidR="005C73B5" w:rsidRPr="009C0656">
        <w:t xml:space="preserve"> </w:t>
      </w:r>
      <w:r w:rsidR="00833323" w:rsidRPr="009C0656">
        <w:t>He</w:t>
      </w:r>
      <w:r w:rsidR="006A71B1" w:rsidRPr="009C0656">
        <w:t xml:space="preserve"> makes a distinct connection </w:t>
      </w:r>
      <w:r w:rsidR="005C73B5" w:rsidRPr="009C0656">
        <w:t xml:space="preserve">between study and material wealth </w:t>
      </w:r>
      <w:r w:rsidR="00025E5C" w:rsidRPr="009C0656">
        <w:t xml:space="preserve">which </w:t>
      </w:r>
      <w:r w:rsidR="00F65C73" w:rsidRPr="009C0656">
        <w:t xml:space="preserve">is </w:t>
      </w:r>
      <w:r w:rsidR="005C73B5" w:rsidRPr="009C0656">
        <w:t xml:space="preserve">structural </w:t>
      </w:r>
      <w:r w:rsidR="00667A49" w:rsidRPr="009C0656">
        <w:t>in</w:t>
      </w:r>
      <w:r w:rsidR="005C73B5" w:rsidRPr="009C0656">
        <w:t xml:space="preserve"> the movement</w:t>
      </w:r>
      <w:r w:rsidRPr="009C0656">
        <w:t>’</w:t>
      </w:r>
      <w:r w:rsidR="005C73B5" w:rsidRPr="009C0656">
        <w:t xml:space="preserve">s </w:t>
      </w:r>
      <w:r w:rsidR="005C73B5" w:rsidRPr="009C0656">
        <w:lastRenderedPageBreak/>
        <w:t xml:space="preserve">epistemological framework. </w:t>
      </w:r>
      <w:r w:rsidR="00025E5C" w:rsidRPr="009C0656">
        <w:t xml:space="preserve">Similar </w:t>
      </w:r>
      <w:r w:rsidR="005C73B5" w:rsidRPr="009C0656">
        <w:t>claim</w:t>
      </w:r>
      <w:r w:rsidR="00025E5C" w:rsidRPr="009C0656">
        <w:t xml:space="preserve">s are made where the truth of Mathematics and Islam </w:t>
      </w:r>
      <w:r w:rsidR="003D169C" w:rsidRPr="009C0656">
        <w:t xml:space="preserve">purportedly </w:t>
      </w:r>
      <w:r w:rsidR="00025E5C" w:rsidRPr="009C0656">
        <w:t>coincide,</w:t>
      </w:r>
      <w:r w:rsidR="003D169C" w:rsidRPr="009C0656">
        <w:t xml:space="preserve"> and upon </w:t>
      </w:r>
      <w:r w:rsidR="00AF3278" w:rsidRPr="009C0656">
        <w:t>understanding of this, Fard (</w:t>
      </w:r>
      <w:r w:rsidR="00F65C73" w:rsidRPr="009C0656">
        <w:t>1934</w:t>
      </w:r>
      <w:r w:rsidR="004A7858" w:rsidRPr="009C0656">
        <w:t>,</w:t>
      </w:r>
      <w:r w:rsidR="00681448" w:rsidRPr="009C0656">
        <w:t xml:space="preserve"> The Problem Book,</w:t>
      </w:r>
      <w:r w:rsidR="004A7858" w:rsidRPr="009C0656">
        <w:t xml:space="preserve"> Problem 13</w:t>
      </w:r>
      <w:r w:rsidR="00AF3278" w:rsidRPr="009C0656">
        <w:t xml:space="preserve">) encourages use of it to </w:t>
      </w:r>
      <w:r w:rsidRPr="009C0656">
        <w:t>‘</w:t>
      </w:r>
      <w:r w:rsidR="00AF3278" w:rsidRPr="009C0656">
        <w:t>secure some benefit while you are living.</w:t>
      </w:r>
      <w:r w:rsidRPr="009C0656">
        <w:t>’</w:t>
      </w:r>
      <w:r w:rsidR="00025E5C" w:rsidRPr="009C0656">
        <w:t xml:space="preserve"> </w:t>
      </w:r>
      <w:r w:rsidR="00B10055" w:rsidRPr="009C0656">
        <w:t>The logic follows</w:t>
      </w:r>
      <w:r w:rsidR="008D6308" w:rsidRPr="009C0656">
        <w:t xml:space="preserve"> a sequence in which</w:t>
      </w:r>
      <w:r w:rsidR="00B10055" w:rsidRPr="009C0656">
        <w:t xml:space="preserve"> </w:t>
      </w:r>
      <w:r w:rsidR="005C73B5" w:rsidRPr="009C0656">
        <w:t>mathematics is Islam; Islam is provable; proof produces material benefit. Th</w:t>
      </w:r>
      <w:r w:rsidR="00AE308D" w:rsidRPr="009C0656">
        <w:t xml:space="preserve">is </w:t>
      </w:r>
      <w:r w:rsidR="005C73B5" w:rsidRPr="009C0656">
        <w:t xml:space="preserve">epistemic conversion </w:t>
      </w:r>
      <w:r w:rsidR="00AE308D" w:rsidRPr="009C0656">
        <w:t xml:space="preserve">becomes a </w:t>
      </w:r>
      <w:r w:rsidR="005C73B5" w:rsidRPr="009C0656">
        <w:t xml:space="preserve">mechanism through which </w:t>
      </w:r>
      <w:r w:rsidR="00AE308D" w:rsidRPr="009C0656">
        <w:t>one</w:t>
      </w:r>
      <w:r w:rsidRPr="009C0656">
        <w:t>’</w:t>
      </w:r>
      <w:r w:rsidR="00AE308D" w:rsidRPr="009C0656">
        <w:t xml:space="preserve">s </w:t>
      </w:r>
      <w:r w:rsidR="005C73B5" w:rsidRPr="009C0656">
        <w:t xml:space="preserve">material life is </w:t>
      </w:r>
      <w:r w:rsidR="0030369C" w:rsidRPr="009C0656">
        <w:t xml:space="preserve">subsequently </w:t>
      </w:r>
      <w:r w:rsidR="005C73B5" w:rsidRPr="009C0656">
        <w:t>transformed. Knowledge of self, correctly transmitted and internalised, produces measurable</w:t>
      </w:r>
      <w:r w:rsidR="00AE308D" w:rsidRPr="009C0656">
        <w:t xml:space="preserve"> </w:t>
      </w:r>
      <w:r w:rsidR="005C73B5" w:rsidRPr="009C0656">
        <w:t>worldly outcomes</w:t>
      </w:r>
      <w:r w:rsidR="00AE308D" w:rsidRPr="009C0656">
        <w:t>,</w:t>
      </w:r>
      <w:r w:rsidR="005C73B5" w:rsidRPr="009C0656">
        <w:t xml:space="preserve"> </w:t>
      </w:r>
      <w:r w:rsidR="00141E26" w:rsidRPr="009C0656">
        <w:t xml:space="preserve">giving it an apt positioning </w:t>
      </w:r>
      <w:r w:rsidR="005C73B5" w:rsidRPr="009C0656">
        <w:t>in the movement</w:t>
      </w:r>
      <w:r w:rsidRPr="009C0656">
        <w:t>’</w:t>
      </w:r>
      <w:r w:rsidR="005C73B5" w:rsidRPr="009C0656">
        <w:t xml:space="preserve">s idiom of higher mathematics as something that </w:t>
      </w:r>
      <w:r w:rsidRPr="009C0656">
        <w:t>‘</w:t>
      </w:r>
      <w:r w:rsidR="005C73B5" w:rsidRPr="009C0656">
        <w:t>stands true</w:t>
      </w:r>
      <w:r w:rsidR="00C4439C" w:rsidRPr="009C0656">
        <w:t xml:space="preserve"> […]</w:t>
      </w:r>
      <w:r w:rsidR="005C73B5" w:rsidRPr="009C0656">
        <w:t xml:space="preserve"> at no limit of time</w:t>
      </w:r>
      <w:r w:rsidRPr="009C0656">
        <w:t>’</w:t>
      </w:r>
      <w:r w:rsidR="00141E26" w:rsidRPr="009C0656">
        <w:t xml:space="preserve"> (</w:t>
      </w:r>
      <w:r w:rsidR="00443159" w:rsidRPr="009C0656">
        <w:t>ibid.</w:t>
      </w:r>
      <w:r w:rsidR="00141E26" w:rsidRPr="009C0656">
        <w:t>).</w:t>
      </w:r>
    </w:p>
    <w:p w14:paraId="4A118A14" w14:textId="66B22134" w:rsidR="005231C1" w:rsidRPr="009C0656" w:rsidRDefault="00B46293" w:rsidP="009C0656">
      <w:pPr>
        <w:spacing w:line="360" w:lineRule="auto"/>
        <w:jc w:val="both"/>
      </w:pPr>
      <w:r w:rsidRPr="009C0656">
        <w:t xml:space="preserve">This authority is reinforced through prophetic lineage. Divine knowledge is presented as historically mediated through prophets and messengers who disclose truths inaccessible to ordinary people (ibid.). Fard is positioned </w:t>
      </w:r>
      <w:r w:rsidR="00667A49" w:rsidRPr="009C0656">
        <w:t>in</w:t>
      </w:r>
      <w:r w:rsidRPr="009C0656">
        <w:t xml:space="preserve"> this lineage and, in some texts, identified as fulfilling biblical prophecy (E. Muhammad, 1934b). References such as Deuteronomy 18 are reinterpreted as anticipating a divinely appointed figure who would deliver an oppressed people. This allows the NOI to draw upon religious expectations familiar to prospective converts through Christianity while redirecting them towards Fard and the movement. Existing scriptural narratives become vehicles for frame bridging and narrative inversion, providing an interpretive route into the movement’s wider cosmology.</w:t>
      </w:r>
    </w:p>
    <w:p w14:paraId="7F3E89BD" w14:textId="7D8EC328" w:rsidR="00A15B92" w:rsidRPr="009C0656" w:rsidRDefault="001B0F7D" w:rsidP="009C0656">
      <w:pPr>
        <w:spacing w:line="360" w:lineRule="auto"/>
        <w:jc w:val="both"/>
      </w:pPr>
      <w:r w:rsidRPr="009C0656">
        <w:t xml:space="preserve">The pedagogical system operationalised this epistemic programme through requirements surrounding original names, compulsory copying and memorisation of the </w:t>
      </w:r>
      <w:r w:rsidRPr="009C0656">
        <w:rPr>
          <w:i/>
          <w:iCs/>
        </w:rPr>
        <w:t>Lessons</w:t>
      </w:r>
      <w:r w:rsidRPr="009C0656">
        <w:t>, examination procedures, and the MUI curriculum (F. Muhammad, 1934</w:t>
      </w:r>
      <w:r w:rsidR="000D0477" w:rsidRPr="009C0656">
        <w:t>, Original Rules of Instruction</w:t>
      </w:r>
      <w:r w:rsidRPr="009C0656">
        <w:t>).</w:t>
      </w:r>
      <w:r w:rsidR="00545CAF" w:rsidRPr="009C0656">
        <w:t xml:space="preserve"> The organisation of this educational process </w:t>
      </w:r>
      <w:r w:rsidR="007031BE" w:rsidRPr="009C0656">
        <w:t xml:space="preserve">served </w:t>
      </w:r>
      <w:r w:rsidR="00545CAF" w:rsidRPr="009C0656">
        <w:t>as a means of knowledge transmission</w:t>
      </w:r>
      <w:r w:rsidR="007031BE" w:rsidRPr="009C0656">
        <w:t xml:space="preserve"> and fundamental </w:t>
      </w:r>
      <w:r w:rsidR="00545CAF" w:rsidRPr="009C0656">
        <w:t>identity formation.</w:t>
      </w:r>
      <w:r w:rsidR="003E27A6" w:rsidRPr="009C0656">
        <w:t xml:space="preserve"> The requirement for memorised recitation is significant because it embeds knowledge </w:t>
      </w:r>
      <w:r w:rsidR="00667A49" w:rsidRPr="009C0656">
        <w:t>in</w:t>
      </w:r>
      <w:r w:rsidR="003E27A6" w:rsidRPr="009C0656">
        <w:t xml:space="preserve"> members in a form that does not depend on continued access to the text. It also makes that knowledge resistant to the confiscation of movement literature and allows it to be reproduced wherever members may find themselves, including contexts in which the movement’s formal institutional structures cannot operate. </w:t>
      </w:r>
      <w:r w:rsidR="00A15B92" w:rsidRPr="009C0656">
        <w:t>Practically, this enabled the movement’s resilience under conditions of state repression.</w:t>
      </w:r>
    </w:p>
    <w:p w14:paraId="463194F7" w14:textId="11E3D96D" w:rsidR="00FC474F" w:rsidRPr="00B16E64" w:rsidRDefault="005D3C0E" w:rsidP="00B16E64">
      <w:pPr>
        <w:spacing w:after="200" w:line="360" w:lineRule="auto"/>
        <w:jc w:val="both"/>
      </w:pPr>
      <w:r w:rsidRPr="009C0656">
        <w:t xml:space="preserve">Beynon’s (1938, p. 898) observation that converts ‘tended to reinterpret with sinister implications incidents of race contact in the South’ </w:t>
      </w:r>
      <w:r w:rsidR="0018751F" w:rsidRPr="009C0656">
        <w:t>suggests</w:t>
      </w:r>
      <w:r w:rsidRPr="009C0656">
        <w:t xml:space="preserve"> the experiential effect this epistemic conversion</w:t>
      </w:r>
      <w:r w:rsidR="0018751F" w:rsidRPr="009C0656">
        <w:t xml:space="preserve"> may have had </w:t>
      </w:r>
      <w:r w:rsidR="00B10BB2" w:rsidRPr="009C0656">
        <w:t>for the specific informants he records</w:t>
      </w:r>
      <w:r w:rsidRPr="009C0656">
        <w:t>.</w:t>
      </w:r>
      <w:r w:rsidR="00B10BB2" w:rsidRPr="009C0656">
        <w:t xml:space="preserve"> For those converts, e</w:t>
      </w:r>
      <w:r w:rsidRPr="009C0656">
        <w:t xml:space="preserve">xposure to NOI teaching </w:t>
      </w:r>
      <w:r w:rsidR="00B10BB2" w:rsidRPr="009C0656">
        <w:t xml:space="preserve">appears to have </w:t>
      </w:r>
      <w:r w:rsidRPr="009C0656">
        <w:t xml:space="preserve">reorganised how </w:t>
      </w:r>
      <w:r w:rsidR="00B10BB2" w:rsidRPr="009C0656">
        <w:t xml:space="preserve">they </w:t>
      </w:r>
      <w:r w:rsidRPr="009C0656">
        <w:t>interpreted past and present encounters with racial domination</w:t>
      </w:r>
      <w:r w:rsidR="00ED66C4" w:rsidRPr="009C0656">
        <w:t xml:space="preserve">, such that earlier </w:t>
      </w:r>
      <w:r w:rsidRPr="009C0656">
        <w:t>experiences acquired new causal meaning through the movement’s diagnostic frame</w:t>
      </w:r>
      <w:r w:rsidR="00ED4814" w:rsidRPr="009C0656">
        <w:t xml:space="preserve"> </w:t>
      </w:r>
      <w:r w:rsidR="007D15A6" w:rsidRPr="009C0656">
        <w:t xml:space="preserve">and </w:t>
      </w:r>
      <w:r w:rsidRPr="009C0656">
        <w:t xml:space="preserve">everyday life </w:t>
      </w:r>
      <w:r w:rsidR="00667A49" w:rsidRPr="009C0656">
        <w:t>in</w:t>
      </w:r>
      <w:r w:rsidRPr="009C0656">
        <w:t xml:space="preserve"> the ‘devil’s civilisation’ could </w:t>
      </w:r>
      <w:r w:rsidR="007D15A6" w:rsidRPr="009C0656">
        <w:t xml:space="preserve">be read as continuing to </w:t>
      </w:r>
      <w:r w:rsidRPr="009C0656">
        <w:t xml:space="preserve">confirm the movement’s account. </w:t>
      </w:r>
      <w:r w:rsidR="006258C3" w:rsidRPr="009C0656">
        <w:t>The textual record supports this as a description of what the frame offered its adherents as an interpretive possibility. With that qualification, epistemic conversion can be described as a form of frame transformation, re-reading existing experience through a newly established causal and theological framework.</w:t>
      </w:r>
    </w:p>
    <w:p w14:paraId="3B4DB354" w14:textId="21654C6C" w:rsidR="00F27728" w:rsidRPr="009C0656" w:rsidRDefault="00982252" w:rsidP="009C0656">
      <w:pPr>
        <w:pStyle w:val="TNRHeading3"/>
        <w:spacing w:line="360" w:lineRule="auto"/>
        <w:jc w:val="both"/>
        <w:rPr>
          <w:color w:val="auto"/>
        </w:rPr>
      </w:pPr>
      <w:r w:rsidRPr="009C0656">
        <w:rPr>
          <w:color w:val="auto"/>
        </w:rPr>
        <w:lastRenderedPageBreak/>
        <w:t xml:space="preserve">Organisational </w:t>
      </w:r>
      <w:r w:rsidR="006C253A" w:rsidRPr="009C0656">
        <w:rPr>
          <w:color w:val="auto"/>
        </w:rPr>
        <w:t>Discipline</w:t>
      </w:r>
    </w:p>
    <w:p w14:paraId="498C33BA" w14:textId="43D67925" w:rsidR="005F4074" w:rsidRPr="009C0656" w:rsidRDefault="00A53087" w:rsidP="009C0656">
      <w:pPr>
        <w:spacing w:line="360" w:lineRule="auto"/>
        <w:jc w:val="both"/>
      </w:pPr>
      <w:r w:rsidRPr="009C0656">
        <w:t>As a movement operating under sustained state scrutiny in a political environment that had demonstrated its willingness to deploy legal mechanisms against Black nationalist organisation, discipline had to be established. The movement advanced a specific prescription for how its internal life should be organised, framing disciplined obedience as a prerequisite for its other aims. This prognostic claim was grounded in a diagnosis of institutional fragility. Movements that preceded the NOI had demonstrated that ideological conviction was insufficient to sustain a Black nationalist formation against combined pressures of state repression and internal competition (see ‘Structural Vacancy’). The NOI’s response was to build vertical control into its organisational architecture. Fard’s arrests, the 19</w:t>
      </w:r>
      <w:r w:rsidR="00C7670F" w:rsidRPr="009C0656">
        <w:t>32</w:t>
      </w:r>
      <w:r w:rsidRPr="009C0656">
        <w:t xml:space="preserve"> human sacrifice scandal, and the broader pattern of federal surveillance made operational secrecy and internal discipline rational adaptations to genuinely dangerous external conditions. For a constituency already familiar with the hierarchical ministerial authority of Baptist and Methodist churches, the movement’s organisational form was sufficiently legible to facilitate allegiance without requiring a separate justification of the structure itself. The NOI’s hierarchy thus intensified familiar forms of Black institutional authority while anchoring them in divine mandate.</w:t>
      </w:r>
    </w:p>
    <w:p w14:paraId="5705C747" w14:textId="105B6486" w:rsidR="00A93517" w:rsidRPr="009C0656" w:rsidRDefault="00A93517" w:rsidP="009C0656">
      <w:pPr>
        <w:spacing w:line="360" w:lineRule="auto"/>
        <w:jc w:val="both"/>
      </w:pPr>
      <w:r w:rsidRPr="009C0656">
        <w:t xml:space="preserve">‘The RESTRICTIVE LAW OF ISLAM is our Success at any time. </w:t>
      </w:r>
      <w:proofErr w:type="spellStart"/>
      <w:proofErr w:type="gramStart"/>
      <w:r w:rsidRPr="009C0656">
        <w:t>Any one</w:t>
      </w:r>
      <w:proofErr w:type="spellEnd"/>
      <w:proofErr w:type="gramEnd"/>
      <w:r w:rsidRPr="009C0656">
        <w:t xml:space="preserve"> who fails to be ONE HUNDRED PERCENT to the LAW shall be dismissed from his or her Post’ (F. Muhammad, 1934</w:t>
      </w:r>
      <w:r w:rsidR="00064428" w:rsidRPr="009C0656">
        <w:t>, Original Rules of Instruction, Rule 10</w:t>
      </w:r>
      <w:r w:rsidRPr="009C0656">
        <w:t xml:space="preserve">). Fard makes clear that partial compliance is treated as non-compliance, with institutional consequences. Dismissal from a post, although an organisational sanction, remains closely bound to religious commitment. The </w:t>
      </w:r>
      <w:r w:rsidR="00C22150" w:rsidRPr="009C0656">
        <w:t>‘</w:t>
      </w:r>
      <w:r w:rsidRPr="009C0656">
        <w:t>Rules of Instruction</w:t>
      </w:r>
      <w:r w:rsidR="00C22150" w:rsidRPr="009C0656">
        <w:t>’</w:t>
      </w:r>
      <w:r w:rsidRPr="009C0656">
        <w:t xml:space="preserve"> established expectations across multiple aspects of conduct, including the avoidance of errors, disciplined and coherent communication, and competition over positions of authority. These prescriptions addressed vulnerabilities that could undermine organisational cohesion or weaken public credibility. The rules formed a comprehensive code of conduct through which religious discipline and organisational administration became mutually reinforcing, while also protecting the movement’s reputation and capacity for long-term survival.</w:t>
      </w:r>
    </w:p>
    <w:p w14:paraId="0CA1053B" w14:textId="7BEC6B54" w:rsidR="00F55E96" w:rsidRPr="009C0656" w:rsidRDefault="00A93517" w:rsidP="009C0656">
      <w:pPr>
        <w:spacing w:line="360" w:lineRule="auto"/>
        <w:jc w:val="both"/>
      </w:pPr>
      <w:r w:rsidRPr="009C0656">
        <w:t xml:space="preserve">To Elijah, Fard (1933b) writes: ‘You must not undertake the </w:t>
      </w:r>
      <w:proofErr w:type="spellStart"/>
      <w:r w:rsidRPr="009C0656">
        <w:t>labor</w:t>
      </w:r>
      <w:proofErr w:type="spellEnd"/>
      <w:r w:rsidRPr="009C0656">
        <w:t xml:space="preserve"> of Islam unless you do know it 100% [...] the time is not ripe yet, how many time have I told you this?’ The emphasis on waiting for the appropriate moment established a temporal logic in which legitimate action depended upon authorised judgement. Interpretive authority over when and how action should occur was concentrated in the leader. Following Fard’s disappearance, this principle transferred to Elijah, making authority over the timing and conditions of action part of his leadership role and illustrating a succession of interpretive control.</w:t>
      </w:r>
    </w:p>
    <w:p w14:paraId="622786A5" w14:textId="7BB6BAD9" w:rsidR="00FC474F" w:rsidRPr="009C0656" w:rsidRDefault="002E56B6" w:rsidP="009C0656">
      <w:pPr>
        <w:spacing w:line="360" w:lineRule="auto"/>
        <w:jc w:val="both"/>
      </w:pPr>
      <w:r w:rsidRPr="009C0656">
        <w:t xml:space="preserve">Much of this discipline became embodied through the FOI, particularly its formal military hierarchy of captains and lieutenants, its drilled membership, and the ministerial corps described as having been </w:t>
      </w:r>
      <w:r w:rsidRPr="009C0656">
        <w:lastRenderedPageBreak/>
        <w:t>‘selected and trained by the prophet’ (Beynon, 1938, p. 902). Both structures instantiated the vertical transmission of authority prescribed by the rules. The examination and qualification system for ministerial office, which required demonstration of doctrinal competency before assuming authority, addressed the risk of premature leadership that the movement’s historical antecedents had exposed. Sahib’s (1995 [1951]) account of conflicts among ministers during Fard’s hiding period confirms that this risk was consequential: ‘all of these conflicts had their origin in the striving for prestige and exploitation of the movement.’ The qualification system and the ‘restrictive law’ were designed to forestall this dynamic, although their effectiveness became more difficult to sustain once the divine authority underwriting them was physically absent.</w:t>
      </w:r>
    </w:p>
    <w:p w14:paraId="0E5BCD2C" w14:textId="38E27176" w:rsidR="00CB7042" w:rsidRPr="009C0656" w:rsidRDefault="00CB7042" w:rsidP="009C0656">
      <w:pPr>
        <w:pStyle w:val="TNRHeading3"/>
        <w:spacing w:line="360" w:lineRule="auto"/>
        <w:jc w:val="both"/>
        <w:rPr>
          <w:color w:val="auto"/>
        </w:rPr>
      </w:pPr>
      <w:r w:rsidRPr="009C0656">
        <w:rPr>
          <w:color w:val="auto"/>
        </w:rPr>
        <w:t>Ontological Reclamation</w:t>
      </w:r>
    </w:p>
    <w:p w14:paraId="298D64AD" w14:textId="1F5EA22C" w:rsidR="003103D5" w:rsidRPr="009C0656" w:rsidRDefault="00AE10A7" w:rsidP="009C0656">
      <w:pPr>
        <w:spacing w:line="360" w:lineRule="auto"/>
        <w:jc w:val="both"/>
      </w:pPr>
      <w:r w:rsidRPr="009C0656">
        <w:t>King</w:t>
      </w:r>
      <w:r w:rsidR="006C1B80" w:rsidRPr="009C0656">
        <w:t>’</w:t>
      </w:r>
      <w:r w:rsidRPr="009C0656">
        <w:t xml:space="preserve">s (1990, p. 683) observation, in her discussion of the power of naming in </w:t>
      </w:r>
      <w:r w:rsidRPr="009C0656">
        <w:rPr>
          <w:i/>
          <w:iCs/>
        </w:rPr>
        <w:t>Their Eyes Were Watching God</w:t>
      </w:r>
      <w:r w:rsidRPr="009C0656">
        <w:t xml:space="preserve">, that </w:t>
      </w:r>
      <w:r w:rsidR="006C1B80" w:rsidRPr="009C0656">
        <w:t>‘</w:t>
      </w:r>
      <w:r w:rsidRPr="009C0656">
        <w:t>those who name also control, and those who are named are subjugated</w:t>
      </w:r>
      <w:r w:rsidR="006C1B80" w:rsidRPr="009C0656">
        <w:t>’</w:t>
      </w:r>
      <w:r w:rsidRPr="009C0656">
        <w:t xml:space="preserve"> captures a dynamic that Patterson (1982) examines in greater sociological depth. Naming</w:t>
      </w:r>
      <w:r w:rsidR="00C4126E" w:rsidRPr="009C0656">
        <w:t>, as established,</w:t>
      </w:r>
      <w:r w:rsidRPr="009C0656">
        <w:t xml:space="preserve"> is </w:t>
      </w:r>
      <w:r w:rsidR="00C4126E" w:rsidRPr="009C0656">
        <w:t>more than</w:t>
      </w:r>
      <w:r w:rsidRPr="009C0656">
        <w:t xml:space="preserve"> a means of identification</w:t>
      </w:r>
      <w:r w:rsidR="00C4126E" w:rsidRPr="009C0656">
        <w:t>, particularly when</w:t>
      </w:r>
      <w:r w:rsidRPr="009C0656">
        <w:t xml:space="preserve"> it </w:t>
      </w:r>
      <w:r w:rsidR="00C4126E" w:rsidRPr="009C0656">
        <w:t xml:space="preserve">involves </w:t>
      </w:r>
      <w:r w:rsidRPr="009C0656">
        <w:t>locat</w:t>
      </w:r>
      <w:r w:rsidR="00C4126E" w:rsidRPr="009C0656">
        <w:t>ing</w:t>
      </w:r>
      <w:r w:rsidRPr="009C0656">
        <w:t xml:space="preserve"> individuals within particular social relationships and histories. Under American chattel slavery, control over naming was exercised systematically, with effects that extended well beyond emancipation and continued to shape the social experience of Black Americans into the twentieth century. This legacy helps explain the significance of the NOI</w:t>
      </w:r>
      <w:r w:rsidR="006C1B80" w:rsidRPr="009C0656">
        <w:t>’</w:t>
      </w:r>
      <w:r w:rsidRPr="009C0656">
        <w:t xml:space="preserve">s name transformation frame, which sought to address the historical meanings attached to inherited surnames and offered an alternative basis for identity and belonging. Only </w:t>
      </w:r>
      <w:r w:rsidR="00667A49" w:rsidRPr="009C0656">
        <w:t>in</w:t>
      </w:r>
      <w:r w:rsidRPr="009C0656">
        <w:t xml:space="preserve"> this broader context can the frame</w:t>
      </w:r>
      <w:r w:rsidR="006C1B80" w:rsidRPr="009C0656">
        <w:t>’</w:t>
      </w:r>
      <w:r w:rsidRPr="009C0656">
        <w:t>s resonance and appeal be fully understood.</w:t>
      </w:r>
    </w:p>
    <w:p w14:paraId="305C0D0D" w14:textId="58063BD6" w:rsidR="003103D5" w:rsidRPr="009C0656" w:rsidRDefault="003103D5" w:rsidP="009C0656">
      <w:pPr>
        <w:spacing w:line="360" w:lineRule="auto"/>
        <w:jc w:val="both"/>
      </w:pPr>
      <w:r w:rsidRPr="009C0656">
        <w:t>Patterson</w:t>
      </w:r>
      <w:r w:rsidR="006C1B80" w:rsidRPr="009C0656">
        <w:t>’</w:t>
      </w:r>
      <w:r w:rsidRPr="009C0656">
        <w:t xml:space="preserve">s (1982, p. 6) concept of the enslaved person as a </w:t>
      </w:r>
      <w:r w:rsidR="006C1B80" w:rsidRPr="009C0656">
        <w:t>‘</w:t>
      </w:r>
      <w:r w:rsidRPr="009C0656">
        <w:t>social nonperson</w:t>
      </w:r>
      <w:r w:rsidR="006C1B80" w:rsidRPr="009C0656">
        <w:t>’</w:t>
      </w:r>
      <w:r w:rsidRPr="009C0656">
        <w:t xml:space="preserve"> establishes the foundational generative mechanism through which the matter of identity becomes inseparable from any account of Black American social and political life. Patterson</w:t>
      </w:r>
      <w:r w:rsidR="006C1B80" w:rsidRPr="009C0656">
        <w:t>’</w:t>
      </w:r>
      <w:r w:rsidRPr="009C0656">
        <w:t>s formulation identifies a structural condition in which social existence is rendered contingent upon the master</w:t>
      </w:r>
      <w:r w:rsidR="006C1B80" w:rsidRPr="009C0656">
        <w:t>’</w:t>
      </w:r>
      <w:r w:rsidRPr="009C0656">
        <w:t xml:space="preserve">s recognition, stripped of the autonomous relational networks through which personhood is ordinarily constituted. The slave accordingly lacks the very ontological ground of selfhood, that is, the capacity to exist meaningfully in relation to others across time. </w:t>
      </w:r>
      <w:r w:rsidR="009D60F2" w:rsidRPr="009C0656">
        <w:t>Recognising this structural displacement is essential for appreciating the significance of the subsequent efforts toward reclaiming naming and self-definition.</w:t>
      </w:r>
    </w:p>
    <w:p w14:paraId="566D7B25" w14:textId="64283100" w:rsidR="003103D5" w:rsidRPr="009C0656" w:rsidRDefault="003103D5" w:rsidP="009C0656">
      <w:pPr>
        <w:spacing w:line="360" w:lineRule="auto"/>
        <w:jc w:val="both"/>
      </w:pPr>
      <w:r w:rsidRPr="009C0656">
        <w:t>Central to Patterson</w:t>
      </w:r>
      <w:r w:rsidR="006C1B80" w:rsidRPr="009C0656">
        <w:t>’</w:t>
      </w:r>
      <w:r w:rsidRPr="009C0656">
        <w:t>s framework is the concept of natal alienation: the forcible severance of the individual from their lineage and cultural inheritance, such that they are rendered incapable of drawing on ancestral experience as a resource for interpreting present social reality. Patterson (ibid., p. 5) distinguishes slavery from other forms of extreme domination precisely on this basis, the enslaved person exists in a permanent condition of social placelessness, unable to claim the dead as ancestors or the living as kin in any socially recognised sense</w:t>
      </w:r>
      <w:r w:rsidR="00CE4B0E" w:rsidRPr="009C0656">
        <w:t xml:space="preserve"> (Smallwood, </w:t>
      </w:r>
      <w:r w:rsidR="004126D5" w:rsidRPr="009C0656">
        <w:t>200</w:t>
      </w:r>
      <w:r w:rsidR="00C0799D" w:rsidRPr="009C0656">
        <w:t>8</w:t>
      </w:r>
      <w:r w:rsidR="004126D5" w:rsidRPr="009C0656">
        <w:t>, pp. 36-61</w:t>
      </w:r>
      <w:r w:rsidR="00CE4B0E" w:rsidRPr="009C0656">
        <w:t>)</w:t>
      </w:r>
      <w:r w:rsidRPr="009C0656">
        <w:t xml:space="preserve">. The implications of this are structural where natal alienation disrupts the transgenerational transmission of collective </w:t>
      </w:r>
      <w:r w:rsidRPr="009C0656">
        <w:lastRenderedPageBreak/>
        <w:t xml:space="preserve">memory and the process by which communities reproduce themselves culturally and ideologically across generations. Freedom enables individuals to integrate inherited frameworks of meaning into their understanding of social reality; enslavement </w:t>
      </w:r>
      <w:r w:rsidR="00655624" w:rsidRPr="009C0656">
        <w:t>restricts</w:t>
      </w:r>
      <w:r w:rsidRPr="009C0656">
        <w:t xml:space="preserve"> this possibility entirely, substituting cultural rootedness with a condition of enforced </w:t>
      </w:r>
      <w:proofErr w:type="spellStart"/>
      <w:r w:rsidRPr="009C0656">
        <w:t>ahistoricity</w:t>
      </w:r>
      <w:proofErr w:type="spellEnd"/>
      <w:r w:rsidRPr="009C0656">
        <w:t>. The enslaved person is, in a precise sense, manufactured as a being without a past.</w:t>
      </w:r>
    </w:p>
    <w:p w14:paraId="00C1E7B0" w14:textId="160610A8" w:rsidR="003C0C97" w:rsidRPr="009C0656" w:rsidRDefault="00E56B20" w:rsidP="009C0656">
      <w:pPr>
        <w:spacing w:line="360" w:lineRule="auto"/>
        <w:jc w:val="both"/>
      </w:pPr>
      <w:r w:rsidRPr="009C0656">
        <w:t>The institutional mechanisms through which this condition was produced were systematic and deliberate. Slaveholding societies across the Atlantic world developed formal practices that marked an individual</w:t>
      </w:r>
      <w:r w:rsidR="006C1B80" w:rsidRPr="009C0656">
        <w:t>’</w:t>
      </w:r>
      <w:r w:rsidRPr="009C0656">
        <w:t xml:space="preserve">s transition into enslavement and reinforced their separation from a previously held social identity. This process involved the disruption of family histories while also weakening connections to cultural traditions and established kinship relations. Enslaved individuals were commonly assigned new names and, in some cases, physically marked. They were then incorporated into a social order in which their status was defined by ownership. Each of these practices reshaped how enslaved people were recognised </w:t>
      </w:r>
      <w:r w:rsidR="00667A49" w:rsidRPr="009C0656">
        <w:t>in</w:t>
      </w:r>
      <w:r w:rsidRPr="009C0656">
        <w:t xml:space="preserve"> society, replacing prior identities with identities structured by domination and dependence. In this way, the institution of slavery sought to reconstruct the social identity of the enslaved person and embed that transformation </w:t>
      </w:r>
      <w:r w:rsidR="00667A49" w:rsidRPr="009C0656">
        <w:t>in</w:t>
      </w:r>
      <w:r w:rsidRPr="009C0656">
        <w:t xml:space="preserve"> everyday social life.</w:t>
      </w:r>
    </w:p>
    <w:p w14:paraId="7E19D864" w14:textId="54DC69BD" w:rsidR="009F76A6" w:rsidRPr="009C0656" w:rsidRDefault="00036F08" w:rsidP="009C0656">
      <w:pPr>
        <w:spacing w:line="360" w:lineRule="auto"/>
        <w:jc w:val="both"/>
      </w:pPr>
      <w:r w:rsidRPr="009C0656">
        <w:t xml:space="preserve">The centrality of naming to this process warrants particular analytical attention, because it reveals the mechanism by which social death was repeatedly reproduced as a lived condition. A name is a primary means through which an individual is recognised </w:t>
      </w:r>
      <w:r w:rsidR="00667A49" w:rsidRPr="009C0656">
        <w:t>in</w:t>
      </w:r>
      <w:r w:rsidRPr="009C0656">
        <w:t xml:space="preserve"> a social world, enabling them to be placed within relations of recognition that carry familial and cultural meaning over time. Patterson (ibid., p. 56) observes that the slave’s former name was understood to have died alongside the former self, reflecting the logic of social death with particular clarity; the removal of the name formed part of this wider process. This removal severed the individual from the linguistic and cultural inheritance embedded in African naming practices, replacing names that carried genealogical depth with labels that recorded the identity of the enslaver. Enslaved people nevertheless often preserved or used alternative names </w:t>
      </w:r>
      <w:r w:rsidR="00667A49" w:rsidRPr="009C0656">
        <w:t>in</w:t>
      </w:r>
      <w:r w:rsidRPr="009C0656">
        <w:t xml:space="preserve"> private or communal settings as a form of quiet resistance. </w:t>
      </w:r>
      <w:r w:rsidR="00621371" w:rsidRPr="009C0656">
        <w:t xml:space="preserve">Such persistence suggest </w:t>
      </w:r>
      <w:r w:rsidRPr="009C0656">
        <w:t xml:space="preserve">that social identity was </w:t>
      </w:r>
      <w:r w:rsidR="00621371" w:rsidRPr="009C0656">
        <w:t xml:space="preserve">not </w:t>
      </w:r>
      <w:r w:rsidRPr="009C0656">
        <w:t>entirely eliminated under conditions of severe domination, and that social death was continually disrupted in practice, remaining incomplete in its effects.</w:t>
      </w:r>
    </w:p>
    <w:p w14:paraId="3B7B5526" w14:textId="1D8E2741" w:rsidR="001937D0" w:rsidRPr="009C0656" w:rsidRDefault="00667A49" w:rsidP="009C0656">
      <w:pPr>
        <w:spacing w:line="360" w:lineRule="auto"/>
        <w:jc w:val="both"/>
      </w:pPr>
      <w:r w:rsidRPr="009C0656">
        <w:t>In</w:t>
      </w:r>
      <w:r w:rsidR="001937D0" w:rsidRPr="009C0656">
        <w:t xml:space="preserve"> the legal framework of American chattel slavery, the practice of assigning the enslaver’s surname to enslaved people operated as a practical administrative device within a racialised economic system. Harris (1993, p. 1716) has shown that the legal architecture of American slavery was organised around the transformation of racial identity into a form of property, such that whiteness itself accrued the legal characteristics of an owned and protected asset. The enslaver’s surname inscribed ownership onto the ledgers of the estate alongside livestock and equipment, recorded in deeds and bills of sale, and its function was reinforced by the principle of </w:t>
      </w:r>
      <w:proofErr w:type="spellStart"/>
      <w:r w:rsidR="001937D0" w:rsidRPr="009C0656">
        <w:rPr>
          <w:i/>
          <w:iCs/>
        </w:rPr>
        <w:t>partus</w:t>
      </w:r>
      <w:proofErr w:type="spellEnd"/>
      <w:r w:rsidR="001937D0" w:rsidRPr="009C0656">
        <w:rPr>
          <w:i/>
          <w:iCs/>
        </w:rPr>
        <w:t xml:space="preserve"> sequitur </w:t>
      </w:r>
      <w:proofErr w:type="spellStart"/>
      <w:r w:rsidR="001937D0" w:rsidRPr="009C0656">
        <w:rPr>
          <w:i/>
          <w:iCs/>
        </w:rPr>
        <w:t>ventrem</w:t>
      </w:r>
      <w:proofErr w:type="spellEnd"/>
      <w:r w:rsidR="001937D0" w:rsidRPr="009C0656">
        <w:t xml:space="preserve">, which held that a child’s legal status followed that of the mother (Hening, 1823, p. 170; original act passed 1662). This allowed the naming </w:t>
      </w:r>
      <w:r w:rsidR="001937D0" w:rsidRPr="009C0656">
        <w:lastRenderedPageBreak/>
        <w:t xml:space="preserve">practice to persist across generations without repeated legal transactions, embedding relations of domination </w:t>
      </w:r>
      <w:r w:rsidRPr="009C0656">
        <w:t>in</w:t>
      </w:r>
      <w:r w:rsidR="001937D0" w:rsidRPr="009C0656">
        <w:t xml:space="preserve"> a basic element of personal identity across successive generations. </w:t>
      </w:r>
    </w:p>
    <w:p w14:paraId="6895BDD6" w14:textId="0391929A" w:rsidR="003103D5" w:rsidRPr="009C0656" w:rsidRDefault="002724CE" w:rsidP="009C0656">
      <w:pPr>
        <w:spacing w:line="360" w:lineRule="auto"/>
        <w:jc w:val="both"/>
      </w:pPr>
      <w:r w:rsidRPr="009C0656">
        <w:t xml:space="preserve">By replacing ancestral surnames with those of enslavers, the slave system broke the links between individuals and their family histories. Genealogical identity, understood as the ability to situate oneself within a line of kinship and shared memory, was replaced by names drawn from systems of ownership. As these surnames were passed down through </w:t>
      </w:r>
      <w:r w:rsidR="004E19E6" w:rsidRPr="009C0656">
        <w:t xml:space="preserve">subsequent </w:t>
      </w:r>
      <w:r w:rsidRPr="009C0656">
        <w:t xml:space="preserve">generations, they came to reflect the structure of the plantation </w:t>
      </w:r>
      <w:r w:rsidR="00843BB9" w:rsidRPr="009C0656">
        <w:t xml:space="preserve">as opposed to </w:t>
      </w:r>
      <w:r w:rsidRPr="009C0656">
        <w:t xml:space="preserve">African or African American kinship ties, embedding the conditions of enslavement </w:t>
      </w:r>
      <w:r w:rsidR="00057E44" w:rsidRPr="009C0656">
        <w:t>in</w:t>
      </w:r>
      <w:r w:rsidRPr="009C0656">
        <w:t xml:space="preserve"> everyday identity. </w:t>
      </w:r>
      <w:r w:rsidR="004E19E6" w:rsidRPr="009C0656">
        <w:t>The</w:t>
      </w:r>
      <w:r w:rsidRPr="009C0656">
        <w:t xml:space="preserve"> legacy of the plantation persisted after emancipation as something carried in the names through which Black Americans were identified and recognised</w:t>
      </w:r>
      <w:r w:rsidR="004E19E6" w:rsidRPr="009C0656">
        <w:t xml:space="preserve"> by themselves and by others.</w:t>
      </w:r>
      <w:r w:rsidR="00980E74" w:rsidRPr="009C0656">
        <w:t xml:space="preserve"> It is against this structural condition that the NOI</w:t>
      </w:r>
      <w:r w:rsidR="006C1B80" w:rsidRPr="009C0656">
        <w:t>’</w:t>
      </w:r>
      <w:r w:rsidR="00980E74" w:rsidRPr="009C0656">
        <w:t>s name transformation practice must be understood</w:t>
      </w:r>
      <w:r w:rsidR="005B5585" w:rsidRPr="009C0656">
        <w:t>.</w:t>
      </w:r>
    </w:p>
    <w:p w14:paraId="107F4BCE" w14:textId="2C2B0341" w:rsidR="00EE450C" w:rsidRPr="009C0656" w:rsidRDefault="00C37660" w:rsidP="009C0656">
      <w:pPr>
        <w:spacing w:line="360" w:lineRule="auto"/>
        <w:jc w:val="both"/>
      </w:pPr>
      <w:r w:rsidRPr="009C0656">
        <w:t>The structural injury Patterson describes was, for the NOI, a living condition registered in the surnames that Black Americans in the 1930s still bore, names drawn from the architecture of the plantation rather than their own kinship and cultural inheritance. The movement’s primary prognostic response was name transformation, which functioned as a powerful mechanism of individual induction and as the institutional enactment of the claim that what slavery had destroyed, Islam could restore. Understanding this transformation practice requires attention to both its ideological meaning and its organisational procedure.</w:t>
      </w:r>
    </w:p>
    <w:p w14:paraId="5042BE86" w14:textId="370EE792" w:rsidR="001F0E6F" w:rsidRPr="009C0656" w:rsidRDefault="00C94FCC" w:rsidP="009C0656">
      <w:pPr>
        <w:spacing w:line="360" w:lineRule="auto"/>
        <w:jc w:val="both"/>
      </w:pPr>
      <w:r w:rsidRPr="009C0656">
        <w:t xml:space="preserve">Name transformation followed a specific bureaucratic-ritual procedure. New members were required to write to the primary leader requesting replacement of their </w:t>
      </w:r>
      <w:proofErr w:type="gramStart"/>
      <w:r w:rsidRPr="009C0656">
        <w:t>slave</w:t>
      </w:r>
      <w:proofErr w:type="gramEnd"/>
      <w:r w:rsidRPr="009C0656">
        <w:t xml:space="preserve"> name and then await acceptance. Fard (1934</w:t>
      </w:r>
      <w:r w:rsidR="00F70E2A" w:rsidRPr="009C0656">
        <w:t>, Original Rules of Instruction, Rule 8</w:t>
      </w:r>
      <w:r w:rsidRPr="009C0656">
        <w:t xml:space="preserve">) formalised the institutional rationale: ‘The LAW OF ISLAM does not approve continuation of Laborers with Devil’s names. The Register must be clear of Devils’ names.’ The register positioned name change as an administrative condition of membership as well as a spiritual act, requiring the organisation’s records to be cleared of plantation nomenclature. The process also involved a fee of approximately ten dollars, creating a financial investment that reinforced the member’s commitment to the new identity. The leader played a central role, as the original name was revealed by the prophet ‘through the Spirit of Allah within him’ (Beynon, 1938, p. 901). The name was understood as recovered through divine knowledge, giving it a certainty and finality that a self-selected replacement could not provide. Examples such as ‘Joseph Shepard became Jam Sharrieff’ and ‘Lindsey Garrett became </w:t>
      </w:r>
      <w:proofErr w:type="spellStart"/>
      <w:r w:rsidRPr="009C0656">
        <w:t>Hazziez</w:t>
      </w:r>
      <w:proofErr w:type="spellEnd"/>
      <w:r w:rsidRPr="009C0656">
        <w:t xml:space="preserve"> Allah’ demonstrate the visible rupture between the names inherited from American racial order and those assigned </w:t>
      </w:r>
      <w:r w:rsidR="00057E44" w:rsidRPr="009C0656">
        <w:t>throughout</w:t>
      </w:r>
      <w:r w:rsidRPr="009C0656">
        <w:t xml:space="preserve"> the movement (ibid.).</w:t>
      </w:r>
    </w:p>
    <w:p w14:paraId="57791E3F" w14:textId="334BB7B7" w:rsidR="00EE450C" w:rsidRPr="009C0656" w:rsidRDefault="006C68F2" w:rsidP="009C0656">
      <w:pPr>
        <w:spacing w:line="360" w:lineRule="auto"/>
        <w:jc w:val="both"/>
      </w:pPr>
      <w:r w:rsidRPr="009C0656">
        <w:t xml:space="preserve">Elijah Muhammad instructed that new Muslims should receive names associated with their forefathers, whom he described as bearing ‘the most Holy and Righteous Names of Allah’ (E. Muhammad, 2009, p. 54). The principle </w:t>
      </w:r>
      <w:r w:rsidR="00ED4814" w:rsidRPr="009C0656">
        <w:t xml:space="preserve">was framed by the movement as </w:t>
      </w:r>
      <w:r w:rsidRPr="009C0656">
        <w:t xml:space="preserve">release from the psychological bondage associated with the enslaver’s family name. It also provided a visible marker of commitment to the movement and </w:t>
      </w:r>
      <w:r w:rsidRPr="009C0656">
        <w:lastRenderedPageBreak/>
        <w:t xml:space="preserve">its leadership. X functioned as a temporary designation between the abandonment of the </w:t>
      </w:r>
      <w:proofErr w:type="gramStart"/>
      <w:r w:rsidRPr="009C0656">
        <w:t>slave</w:t>
      </w:r>
      <w:proofErr w:type="gramEnd"/>
      <w:r w:rsidRPr="009C0656">
        <w:t xml:space="preserve"> name and the adoption of an Arabic or Islamic name, making the historical absence produced by chattel slavery materially visible. The enslaver’s surname had operated as a property mark inscribing ownership into personal identity; X rendered that rupture explicit. The subsequent adoption of an Arabic or Islamic name, with Muhammad among the most common choices, completed the movement from negation to affirmation and from the erasure of enslaved ancestry to the recovery of what the NOI presented as an original and righteous identity (Akom, 2003, p. 313).</w:t>
      </w:r>
    </w:p>
    <w:p w14:paraId="6040DA0A" w14:textId="77C7F4AC" w:rsidR="003B69D5" w:rsidRPr="009C0656" w:rsidRDefault="00B37739" w:rsidP="009C0656">
      <w:pPr>
        <w:spacing w:line="360" w:lineRule="auto"/>
        <w:jc w:val="both"/>
      </w:pPr>
      <w:r w:rsidRPr="009C0656">
        <w:t xml:space="preserve">The </w:t>
      </w:r>
      <w:r w:rsidRPr="009C0656">
        <w:rPr>
          <w:i/>
          <w:iCs/>
        </w:rPr>
        <w:t>FCTI</w:t>
      </w:r>
      <w:r w:rsidRPr="009C0656">
        <w:t xml:space="preserve">’s ‘Get Your Real Name’ column reinforced this logic: ‘Now you were robbed of your real names by the white man when he enslaved us [...] Do not </w:t>
      </w:r>
      <w:proofErr w:type="gramStart"/>
      <w:r w:rsidRPr="009C0656">
        <w:t>these sound</w:t>
      </w:r>
      <w:proofErr w:type="gramEnd"/>
      <w:r w:rsidRPr="009C0656">
        <w:t xml:space="preserve"> better to you than Brown, Catt, Hogg or Woodpecker?’ (E. Muhammad, 1934b). The examples draw upon actual naming practices associated with slavery and intensify the degradation attached to the inherited names. The column continues: ‘An angel (messenger) from Heaven (Mecca) could not have the name of Tommy Brown because anyone with a Christian name cannot get within fifty square miles of the Holy City Mecca’ (ibid.). The </w:t>
      </w:r>
      <w:proofErr w:type="gramStart"/>
      <w:r w:rsidRPr="009C0656">
        <w:t>slave</w:t>
      </w:r>
      <w:proofErr w:type="gramEnd"/>
      <w:r w:rsidRPr="009C0656">
        <w:t xml:space="preserve"> name is constructed as a historical residue and a spiritual barrier, excluding its bearer from the sacred geography that the movement identifies as home.</w:t>
      </w:r>
    </w:p>
    <w:p w14:paraId="3B642FB4" w14:textId="7BE1877F" w:rsidR="00BE569C" w:rsidRPr="009C0656" w:rsidRDefault="000C1292" w:rsidP="009C0656">
      <w:pPr>
        <w:spacing w:line="360" w:lineRule="auto"/>
        <w:jc w:val="both"/>
      </w:pPr>
      <w:r w:rsidRPr="009C0656">
        <w:t xml:space="preserve">The carceral context provided an especially powerful setting for this motivational dynamic. </w:t>
      </w:r>
      <w:r w:rsidR="00057E44" w:rsidRPr="009C0656">
        <w:t>Across</w:t>
      </w:r>
      <w:r w:rsidRPr="009C0656">
        <w:t xml:space="preserve"> a prison system that had stripped individuals of many other markers of autonomous identity, the offer of a new name and self-narrative carried particular significance. The prison reproduced elements of the social death Patterson describes through numerical identification, regulated dress, and compelled labour. The NOI’s name transformation practice addressed this condition by offering incarcerated members a re-entry into selfhood defined through divine knowledge. In his instructional correspondence with his labourers, Fard</w:t>
      </w:r>
      <w:r w:rsidR="000B58E0" w:rsidRPr="009C0656">
        <w:t xml:space="preserve"> </w:t>
      </w:r>
      <w:r w:rsidRPr="009C0656">
        <w:t>(1934</w:t>
      </w:r>
      <w:r w:rsidR="00602C4B" w:rsidRPr="009C0656">
        <w:t>, Original Rules of Instruction, Rule 11</w:t>
      </w:r>
      <w:r w:rsidRPr="009C0656">
        <w:t>) frames this promise in terms of the commitment to ‘give everyone his or her own’, language with particular resonance for those from whom imprisonment had removed much of their autonomy.</w:t>
      </w:r>
    </w:p>
    <w:p w14:paraId="0B60956D" w14:textId="5BF7FF60" w:rsidR="00BE569C" w:rsidRPr="009C0656" w:rsidRDefault="00BE569C" w:rsidP="009C0656">
      <w:pPr>
        <w:spacing w:line="360" w:lineRule="auto"/>
        <w:jc w:val="both"/>
      </w:pPr>
      <w:r w:rsidRPr="009C0656">
        <w:t xml:space="preserve">The shame-reversal logic of the name frame was notable. Members </w:t>
      </w:r>
      <w:r w:rsidR="006C1B80" w:rsidRPr="009C0656">
        <w:t>‘</w:t>
      </w:r>
      <w:r w:rsidRPr="009C0656">
        <w:t>became so ashamed of their old slave names that they considered that they could suffer no greater insult than to be addressed by the old name</w:t>
      </w:r>
      <w:r w:rsidR="006C1B80" w:rsidRPr="009C0656">
        <w:t>’</w:t>
      </w:r>
      <w:r w:rsidRPr="009C0656">
        <w:t xml:space="preserve"> (</w:t>
      </w:r>
      <w:r w:rsidR="00EF7BE2" w:rsidRPr="009C0656">
        <w:t xml:space="preserve">Beynon, </w:t>
      </w:r>
      <w:r w:rsidRPr="009C0656">
        <w:t>1938</w:t>
      </w:r>
      <w:r w:rsidR="00EF7BE2" w:rsidRPr="009C0656">
        <w:t>, p. 902</w:t>
      </w:r>
      <w:r w:rsidRPr="009C0656">
        <w:t xml:space="preserve">). The </w:t>
      </w:r>
      <w:proofErr w:type="gramStart"/>
      <w:r w:rsidRPr="009C0656">
        <w:t>slave</w:t>
      </w:r>
      <w:proofErr w:type="gramEnd"/>
      <w:r w:rsidRPr="009C0656">
        <w:t xml:space="preserve"> name, previously a neutral administrative fact of identity, is revalued through exposure to the movement</w:t>
      </w:r>
      <w:r w:rsidR="006C1B80" w:rsidRPr="009C0656">
        <w:t>’</w:t>
      </w:r>
      <w:r w:rsidRPr="009C0656">
        <w:t>s diagnostic frame as an active site of crisis, and the new name becomes correspondingly sacred. The member</w:t>
      </w:r>
      <w:r w:rsidR="006C1B80" w:rsidRPr="009C0656">
        <w:t>’</w:t>
      </w:r>
      <w:r w:rsidRPr="009C0656">
        <w:t xml:space="preserve">s declaration, </w:t>
      </w:r>
      <w:r w:rsidR="006C1B80" w:rsidRPr="009C0656">
        <w:t>‘</w:t>
      </w:r>
      <w:r w:rsidRPr="009C0656">
        <w:t>I wouldn</w:t>
      </w:r>
      <w:r w:rsidR="006C1B80" w:rsidRPr="009C0656">
        <w:t>’</w:t>
      </w:r>
      <w:r w:rsidRPr="009C0656">
        <w:t>t give up my righteous name. That name is my life</w:t>
      </w:r>
      <w:r w:rsidR="00CE1114" w:rsidRPr="009C0656">
        <w:t>,</w:t>
      </w:r>
      <w:r w:rsidR="006C1B80" w:rsidRPr="009C0656">
        <w:t>’</w:t>
      </w:r>
      <w:r w:rsidRPr="009C0656">
        <w:t xml:space="preserve"> is the shame-reversal completed (</w:t>
      </w:r>
      <w:r w:rsidR="00504A70" w:rsidRPr="009C0656">
        <w:t>ibid.</w:t>
      </w:r>
      <w:r w:rsidRPr="009C0656">
        <w:t>). The name that was once imposed without consent has been replaced by a name that is experienced as the substance of existence itself. The new name was explicitly tied by the movement to restored status</w:t>
      </w:r>
      <w:r w:rsidR="00AD5590" w:rsidRPr="009C0656">
        <w:t xml:space="preserve"> with</w:t>
      </w:r>
      <w:r w:rsidRPr="009C0656">
        <w:t xml:space="preserve"> members </w:t>
      </w:r>
      <w:r w:rsidR="00AD5590" w:rsidRPr="009C0656">
        <w:t xml:space="preserve">understanding </w:t>
      </w:r>
      <w:r w:rsidRPr="009C0656">
        <w:t xml:space="preserve">themselves as </w:t>
      </w:r>
      <w:r w:rsidR="006C1B80" w:rsidRPr="009C0656">
        <w:t>‘</w:t>
      </w:r>
      <w:r w:rsidRPr="009C0656">
        <w:t>descendants of nobles in the Holy City of Mecca</w:t>
      </w:r>
      <w:r w:rsidR="006C1B80" w:rsidRPr="009C0656">
        <w:t>’</w:t>
      </w:r>
      <w:r w:rsidRPr="009C0656">
        <w:t xml:space="preserve"> (</w:t>
      </w:r>
      <w:r w:rsidR="00AD5590" w:rsidRPr="009C0656">
        <w:t>ibid.</w:t>
      </w:r>
      <w:r w:rsidRPr="009C0656">
        <w:t xml:space="preserve">). </w:t>
      </w:r>
      <w:r w:rsidR="00AD5590" w:rsidRPr="009C0656">
        <w:t xml:space="preserve">This is </w:t>
      </w:r>
      <w:r w:rsidRPr="009C0656">
        <w:t>an inversion of the plantation</w:t>
      </w:r>
      <w:r w:rsidR="006C1B80" w:rsidRPr="009C0656">
        <w:t>’</w:t>
      </w:r>
      <w:r w:rsidRPr="009C0656">
        <w:t>s erasure of ancestry through the restoration of a specific and prestigious lineage in its place.</w:t>
      </w:r>
    </w:p>
    <w:p w14:paraId="2D1E867A" w14:textId="6DC665C6" w:rsidR="00572176" w:rsidRPr="009C0656" w:rsidRDefault="006A6F66" w:rsidP="00B16E64">
      <w:pPr>
        <w:spacing w:line="360" w:lineRule="auto"/>
        <w:jc w:val="both"/>
      </w:pPr>
      <w:r w:rsidRPr="009C0656">
        <w:lastRenderedPageBreak/>
        <w:t xml:space="preserve">The organisational infrastructure surrounding this identity reclamation extended the same logic across members’ daily lives. The establishment of the FOI in 1933, the MGT-GCC in the same year, and the MUI in 1934 institutionalised an alternative identity system through schools, codes of conduct, dietary laws, uniforms, fraternal structures, and women’s development. Members entered an environment that continually reproduced the identity signalled by the new name. Boundary-maintenance practices, dress codes, dietary regulations, FOI discipline, and MGT training embedded restored identity </w:t>
      </w:r>
      <w:r w:rsidR="00057E44" w:rsidRPr="009C0656">
        <w:t>in</w:t>
      </w:r>
      <w:r w:rsidRPr="009C0656">
        <w:t xml:space="preserve"> routine conduct. This correspondence between the ontological claims of the diagnostic frame and the institutional completeness of the prognostic response is developed further in the following section, ‘Parallel Institutionalisation’.</w:t>
      </w:r>
    </w:p>
    <w:p w14:paraId="212E8A0E" w14:textId="33CF8015" w:rsidR="0044293F" w:rsidRPr="009C0656" w:rsidRDefault="00FB112E" w:rsidP="009C0656">
      <w:pPr>
        <w:pStyle w:val="TNRHeading3"/>
        <w:spacing w:line="360" w:lineRule="auto"/>
        <w:jc w:val="both"/>
        <w:rPr>
          <w:color w:val="auto"/>
        </w:rPr>
      </w:pPr>
      <w:r w:rsidRPr="009C0656">
        <w:rPr>
          <w:color w:val="auto"/>
        </w:rPr>
        <w:t>Parallel Institutionalisation</w:t>
      </w:r>
    </w:p>
    <w:p w14:paraId="520A1B2C" w14:textId="4AE3A82A" w:rsidR="00125D8D" w:rsidRPr="009C0656" w:rsidRDefault="00125D8D" w:rsidP="009C0656">
      <w:pPr>
        <w:spacing w:line="360" w:lineRule="auto"/>
        <w:jc w:val="both"/>
        <w:rPr>
          <w:rFonts w:cstheme="majorBidi"/>
          <w:szCs w:val="22"/>
        </w:rPr>
      </w:pPr>
      <w:r w:rsidRPr="009C0656">
        <w:rPr>
          <w:rFonts w:cstheme="majorBidi"/>
          <w:szCs w:val="22"/>
        </w:rPr>
        <w:t>The diagnostic frame</w:t>
      </w:r>
      <w:r w:rsidR="006C1B80" w:rsidRPr="009C0656">
        <w:rPr>
          <w:rFonts w:cstheme="majorBidi"/>
          <w:szCs w:val="22"/>
        </w:rPr>
        <w:t>’</w:t>
      </w:r>
      <w:r w:rsidRPr="009C0656">
        <w:rPr>
          <w:rFonts w:cstheme="majorBidi"/>
          <w:szCs w:val="22"/>
        </w:rPr>
        <w:t>s identification of epistemic domination as the foundational mechanism of racial subjugation carried the specific prognostic implication that liberation required the construction of an entirely alternative institutional order. The movement</w:t>
      </w:r>
      <w:r w:rsidR="006C1B80" w:rsidRPr="009C0656">
        <w:rPr>
          <w:rFonts w:cstheme="majorBidi"/>
          <w:szCs w:val="22"/>
        </w:rPr>
        <w:t>’</w:t>
      </w:r>
      <w:r w:rsidRPr="009C0656">
        <w:rPr>
          <w:rFonts w:cstheme="majorBidi"/>
          <w:szCs w:val="22"/>
        </w:rPr>
        <w:t>s institutional development across 1933 and 1934</w:t>
      </w:r>
      <w:r w:rsidR="000D2DE9" w:rsidRPr="009C0656">
        <w:rPr>
          <w:rFonts w:cstheme="majorBidi"/>
          <w:szCs w:val="22"/>
        </w:rPr>
        <w:t xml:space="preserve"> actualised</w:t>
      </w:r>
      <w:r w:rsidRPr="009C0656">
        <w:rPr>
          <w:rFonts w:cstheme="majorBidi"/>
          <w:szCs w:val="22"/>
        </w:rPr>
        <w:t xml:space="preserve"> this diagnostic claim into a set of concrete social arrangements organised entirely around the movement</w:t>
      </w:r>
      <w:r w:rsidR="006C1B80" w:rsidRPr="009C0656">
        <w:rPr>
          <w:rFonts w:cstheme="majorBidi"/>
          <w:szCs w:val="22"/>
        </w:rPr>
        <w:t>’</w:t>
      </w:r>
      <w:r w:rsidRPr="009C0656">
        <w:rPr>
          <w:rFonts w:cstheme="majorBidi"/>
          <w:szCs w:val="22"/>
        </w:rPr>
        <w:t>s foundational teachings.</w:t>
      </w:r>
    </w:p>
    <w:p w14:paraId="4566FDE8" w14:textId="7AD3BED8" w:rsidR="00311121" w:rsidRPr="009C0656" w:rsidRDefault="00125D8D" w:rsidP="009C0656">
      <w:pPr>
        <w:spacing w:line="360" w:lineRule="auto"/>
        <w:jc w:val="both"/>
        <w:rPr>
          <w:rFonts w:cstheme="majorBidi"/>
          <w:szCs w:val="22"/>
        </w:rPr>
      </w:pPr>
      <w:r w:rsidRPr="009C0656">
        <w:rPr>
          <w:rFonts w:cstheme="majorBidi"/>
          <w:szCs w:val="22"/>
        </w:rPr>
        <w:t xml:space="preserve">Following on from the previously detailed establishments of the FOI, MGT-GCC, and the MUI, these institutions extend beyond the content of what each organisation taught or practised. The simultaneous development of an educational body, a female training programme, and a paramilitary fraternal organisation produced an alternative world complete enough that members could organise the entirety of their domestic, intellectual, and communal lives within its structures. This totality was constitutive of the prognostic frame. A partial </w:t>
      </w:r>
      <w:proofErr w:type="gramStart"/>
      <w:r w:rsidRPr="009C0656">
        <w:rPr>
          <w:rFonts w:cstheme="majorBidi"/>
          <w:szCs w:val="22"/>
        </w:rPr>
        <w:t>counter-institution</w:t>
      </w:r>
      <w:proofErr w:type="gramEnd"/>
      <w:r w:rsidRPr="009C0656">
        <w:rPr>
          <w:rFonts w:cstheme="majorBidi"/>
          <w:szCs w:val="22"/>
        </w:rPr>
        <w:t xml:space="preserve"> would have left members embedded in the devil</w:t>
      </w:r>
      <w:r w:rsidR="006C1B80" w:rsidRPr="009C0656">
        <w:rPr>
          <w:rFonts w:cstheme="majorBidi"/>
          <w:szCs w:val="22"/>
        </w:rPr>
        <w:t>’</w:t>
      </w:r>
      <w:r w:rsidRPr="009C0656">
        <w:rPr>
          <w:rFonts w:cstheme="majorBidi"/>
          <w:szCs w:val="22"/>
        </w:rPr>
        <w:t xml:space="preserve">s world at the points it did not cover, undermining the diagnostic claim that separation from that world was both necessary and possible. The three institutions together closed that gap, producing what King (2006, p. 270) describes as </w:t>
      </w:r>
      <w:r w:rsidR="006C1B80" w:rsidRPr="009C0656">
        <w:rPr>
          <w:rFonts w:cstheme="majorBidi"/>
          <w:szCs w:val="22"/>
        </w:rPr>
        <w:t>‘</w:t>
      </w:r>
      <w:r w:rsidRPr="009C0656">
        <w:rPr>
          <w:rFonts w:cstheme="majorBidi"/>
          <w:szCs w:val="22"/>
        </w:rPr>
        <w:t>a comprehensive system of education that addressed every facet of life necessary for a people to be educated and productive in a nurturing community environment.</w:t>
      </w:r>
      <w:r w:rsidR="006C1B80" w:rsidRPr="009C0656">
        <w:rPr>
          <w:rFonts w:cstheme="majorBidi"/>
          <w:szCs w:val="22"/>
        </w:rPr>
        <w:t>’</w:t>
      </w:r>
      <w:r w:rsidRPr="009C0656">
        <w:rPr>
          <w:rFonts w:cstheme="majorBidi"/>
          <w:szCs w:val="22"/>
        </w:rPr>
        <w:t xml:space="preserve"> The development was so well-organised formally that it allowed Fard to </w:t>
      </w:r>
      <w:r w:rsidR="006C1B80" w:rsidRPr="009C0656">
        <w:rPr>
          <w:rFonts w:cstheme="majorBidi"/>
          <w:szCs w:val="22"/>
        </w:rPr>
        <w:t>‘</w:t>
      </w:r>
      <w:r w:rsidRPr="009C0656">
        <w:rPr>
          <w:rFonts w:cstheme="majorBidi"/>
          <w:szCs w:val="22"/>
        </w:rPr>
        <w:t>recede into the background</w:t>
      </w:r>
      <w:r w:rsidR="006C1B80" w:rsidRPr="009C0656">
        <w:rPr>
          <w:rFonts w:cstheme="majorBidi"/>
          <w:szCs w:val="22"/>
        </w:rPr>
        <w:t>’</w:t>
      </w:r>
      <w:r w:rsidRPr="009C0656">
        <w:rPr>
          <w:rFonts w:cstheme="majorBidi"/>
          <w:szCs w:val="22"/>
        </w:rPr>
        <w:t xml:space="preserve"> (Sahib, 1995 [1951], p. </w:t>
      </w:r>
      <w:r w:rsidR="0080086B" w:rsidRPr="009C0656">
        <w:rPr>
          <w:rFonts w:cstheme="majorBidi"/>
          <w:szCs w:val="22"/>
        </w:rPr>
        <w:t>11</w:t>
      </w:r>
      <w:r w:rsidRPr="009C0656">
        <w:rPr>
          <w:rFonts w:cstheme="majorBidi"/>
          <w:szCs w:val="22"/>
        </w:rPr>
        <w:t>).</w:t>
      </w:r>
    </w:p>
    <w:p w14:paraId="05229C30" w14:textId="2CD73ED5" w:rsidR="00B64193" w:rsidRPr="009C0656" w:rsidRDefault="00412D1C" w:rsidP="009C0656">
      <w:pPr>
        <w:spacing w:line="360" w:lineRule="auto"/>
        <w:jc w:val="both"/>
        <w:rPr>
          <w:rFonts w:cstheme="majorBidi"/>
          <w:szCs w:val="22"/>
        </w:rPr>
      </w:pPr>
      <w:r w:rsidRPr="009C0656">
        <w:rPr>
          <w:rFonts w:cstheme="majorBidi"/>
          <w:szCs w:val="22"/>
        </w:rPr>
        <w:t xml:space="preserve">The MUI’s curricular system warrants particular attention. The diagnostic frame identified the ‘devil’s’ educational system as a mechanism through which Black people were kept ‘blind to themselves’; the University operationalised an alternative through astronomy, higher mathematics, and the </w:t>
      </w:r>
      <w:r w:rsidRPr="009C0656">
        <w:rPr>
          <w:rFonts w:cstheme="majorBidi"/>
          <w:i/>
          <w:iCs/>
          <w:szCs w:val="22"/>
        </w:rPr>
        <w:t>Supreme Wisdom Lessons</w:t>
      </w:r>
      <w:r w:rsidRPr="009C0656">
        <w:rPr>
          <w:rFonts w:cstheme="majorBidi"/>
          <w:szCs w:val="22"/>
        </w:rPr>
        <w:t xml:space="preserve">’ </w:t>
      </w:r>
      <w:r w:rsidR="00C453F0" w:rsidRPr="009C0656">
        <w:rPr>
          <w:rFonts w:cstheme="majorBidi"/>
          <w:szCs w:val="22"/>
        </w:rPr>
        <w:t>‘</w:t>
      </w:r>
      <w:r w:rsidRPr="009C0656">
        <w:rPr>
          <w:rFonts w:cstheme="majorBidi"/>
          <w:szCs w:val="22"/>
        </w:rPr>
        <w:t>Problem Book</w:t>
      </w:r>
      <w:r w:rsidR="00C453F0" w:rsidRPr="009C0656">
        <w:rPr>
          <w:rFonts w:cstheme="majorBidi"/>
          <w:szCs w:val="22"/>
        </w:rPr>
        <w:t>’</w:t>
      </w:r>
      <w:r w:rsidRPr="009C0656">
        <w:rPr>
          <w:rFonts w:cstheme="majorBidi"/>
          <w:szCs w:val="22"/>
        </w:rPr>
        <w:t xml:space="preserve"> (F. Muhammad, 1934; Beynon, 1938, p. 902). This curriculum was framed as the recovery of a lost and superior ancient civilisation, with mathematical and astronomical knowledge presented as part of what properly belonged to the Original Man.</w:t>
      </w:r>
      <w:r w:rsidR="00806375" w:rsidRPr="009C0656">
        <w:rPr>
          <w:rFonts w:cstheme="majorBidi"/>
          <w:szCs w:val="22"/>
        </w:rPr>
        <w:t xml:space="preserve"> English literacy classes supplemented the main curriculum. Beynon (ibid., p. 900) records that ‘since many of these people were illiterate, it became necessary to organize classes in English so that they might be able to read the </w:t>
      </w:r>
      <w:r w:rsidR="00806375" w:rsidRPr="009C0656">
        <w:rPr>
          <w:rFonts w:cstheme="majorBidi"/>
          <w:szCs w:val="22"/>
        </w:rPr>
        <w:lastRenderedPageBreak/>
        <w:t xml:space="preserve">proofs about themselves.’ Literacy served as a practical means of accessing the movement’s authoritative teachings for members previously excluded from them. The MUI’s conflict with Detroit’s Board of Education further reinforced, </w:t>
      </w:r>
      <w:r w:rsidR="00057E44" w:rsidRPr="009C0656">
        <w:rPr>
          <w:rFonts w:cstheme="majorBidi"/>
          <w:szCs w:val="22"/>
        </w:rPr>
        <w:t>in</w:t>
      </w:r>
      <w:r w:rsidR="00806375" w:rsidRPr="009C0656">
        <w:rPr>
          <w:rFonts w:cstheme="majorBidi"/>
          <w:szCs w:val="22"/>
        </w:rPr>
        <w:t xml:space="preserve"> the movement’s interpretive framework, the perception that the state regarded this counter-curriculum as a challenge to established mechanisms of educational control.</w:t>
      </w:r>
    </w:p>
    <w:p w14:paraId="51A7D3B9" w14:textId="6EEFCBCF" w:rsidR="000219FB" w:rsidRPr="009C0656" w:rsidRDefault="000001F0" w:rsidP="009C0656">
      <w:pPr>
        <w:spacing w:line="360" w:lineRule="auto"/>
        <w:jc w:val="both"/>
        <w:rPr>
          <w:rFonts w:cstheme="majorBidi"/>
          <w:szCs w:val="22"/>
        </w:rPr>
      </w:pPr>
      <w:r w:rsidRPr="009C0656">
        <w:rPr>
          <w:rFonts w:cstheme="majorBidi"/>
          <w:szCs w:val="22"/>
        </w:rPr>
        <w:t xml:space="preserve">The MGT-GCC extended the same reconstructive logic into domestic life. Its emphasis on domestic education and household management ensured that the movement’s dietary prescriptions and behavioural standards were reproduced </w:t>
      </w:r>
      <w:r w:rsidR="00057E44" w:rsidRPr="009C0656">
        <w:rPr>
          <w:rFonts w:cstheme="majorBidi"/>
          <w:szCs w:val="22"/>
        </w:rPr>
        <w:t>in</w:t>
      </w:r>
      <w:r w:rsidRPr="009C0656">
        <w:rPr>
          <w:rFonts w:cstheme="majorBidi"/>
          <w:szCs w:val="22"/>
        </w:rPr>
        <w:t xml:space="preserve"> the home. The household consequently became a site of ideological and practical formation continuous with the MUI and FOI, extending the restored identity into everyday life.</w:t>
      </w:r>
      <w:r w:rsidR="00867D8D" w:rsidRPr="009C0656">
        <w:rPr>
          <w:rFonts w:cstheme="majorBidi"/>
          <w:szCs w:val="22"/>
        </w:rPr>
        <w:t xml:space="preserve"> </w:t>
      </w:r>
      <w:r w:rsidR="00C93C7A" w:rsidRPr="009C0656">
        <w:rPr>
          <w:rFonts w:cstheme="majorBidi"/>
          <w:szCs w:val="22"/>
        </w:rPr>
        <w:t>T</w:t>
      </w:r>
      <w:r w:rsidR="000219FB" w:rsidRPr="009C0656">
        <w:rPr>
          <w:rFonts w:cstheme="majorBidi"/>
          <w:szCs w:val="22"/>
        </w:rPr>
        <w:t xml:space="preserve">he women who staffed and attended the MGT-GCC actively generated and circulated charismatic authority. Sister Sharrieff’s </w:t>
      </w:r>
      <w:r w:rsidR="00867D8D" w:rsidRPr="009C0656">
        <w:rPr>
          <w:rFonts w:cstheme="majorBidi"/>
          <w:szCs w:val="22"/>
        </w:rPr>
        <w:t xml:space="preserve">(1934) </w:t>
      </w:r>
      <w:r w:rsidR="000219FB" w:rsidRPr="009C0656">
        <w:rPr>
          <w:rFonts w:cstheme="majorBidi"/>
          <w:szCs w:val="22"/>
        </w:rPr>
        <w:t>weight-loss testimony, staged charisma as embodied and visible in her own reformed body, functioning as a politics of respectability performed through poise and conduct. Lewis’s (1934) separatist exhortation to FCTI readers likewise shows an MGT-GCC member exercising a diagnostic voice ordinarily reserved for the movement’s male ministers</w:t>
      </w:r>
      <w:r w:rsidR="00106434" w:rsidRPr="009C0656">
        <w:rPr>
          <w:rFonts w:cstheme="majorBidi"/>
          <w:szCs w:val="22"/>
        </w:rPr>
        <w:t xml:space="preserve">. </w:t>
      </w:r>
      <w:r w:rsidR="004A0986" w:rsidRPr="009C0656">
        <w:rPr>
          <w:rFonts w:cstheme="majorBidi"/>
          <w:szCs w:val="22"/>
        </w:rPr>
        <w:t>Further, t</w:t>
      </w:r>
      <w:r w:rsidR="000219FB" w:rsidRPr="009C0656">
        <w:rPr>
          <w:rFonts w:cstheme="majorBidi"/>
          <w:szCs w:val="22"/>
        </w:rPr>
        <w:t xml:space="preserve">he paper’s </w:t>
      </w:r>
      <w:proofErr w:type="gramStart"/>
      <w:r w:rsidR="000219FB" w:rsidRPr="009C0656">
        <w:rPr>
          <w:rFonts w:cstheme="majorBidi"/>
          <w:szCs w:val="22"/>
        </w:rPr>
        <w:t>protective-anger</w:t>
      </w:r>
      <w:proofErr w:type="gramEnd"/>
      <w:r w:rsidR="000219FB" w:rsidRPr="009C0656">
        <w:rPr>
          <w:rFonts w:cstheme="majorBidi"/>
          <w:szCs w:val="22"/>
        </w:rPr>
        <w:t xml:space="preserve"> appeals to women readers recruited women’s own fear for their daughters as a mechanism of mobilisation</w:t>
      </w:r>
      <w:r w:rsidR="00106434" w:rsidRPr="009C0656">
        <w:rPr>
          <w:rFonts w:cstheme="majorBidi"/>
          <w:szCs w:val="22"/>
        </w:rPr>
        <w:t xml:space="preserve"> (E. Muhammad, 1934b)</w:t>
      </w:r>
      <w:r w:rsidR="000219FB" w:rsidRPr="009C0656">
        <w:rPr>
          <w:rFonts w:cstheme="majorBidi"/>
          <w:szCs w:val="22"/>
        </w:rPr>
        <w:t>. Gilkes’s (1988) ‘community mothering’ captures this dynamic</w:t>
      </w:r>
      <w:r w:rsidR="004A0986" w:rsidRPr="009C0656">
        <w:rPr>
          <w:rFonts w:cstheme="majorBidi"/>
          <w:szCs w:val="22"/>
        </w:rPr>
        <w:t xml:space="preserve"> with </w:t>
      </w:r>
      <w:r w:rsidR="000219FB" w:rsidRPr="009C0656">
        <w:rPr>
          <w:rFonts w:cstheme="majorBidi"/>
          <w:szCs w:val="22"/>
        </w:rPr>
        <w:t xml:space="preserve">authority exercised through embodied and relational </w:t>
      </w:r>
      <w:r w:rsidR="00F84582" w:rsidRPr="009C0656">
        <w:rPr>
          <w:rFonts w:cstheme="majorBidi"/>
          <w:szCs w:val="22"/>
        </w:rPr>
        <w:t xml:space="preserve">domains </w:t>
      </w:r>
      <w:r w:rsidR="000219FB" w:rsidRPr="009C0656">
        <w:rPr>
          <w:rFonts w:cstheme="majorBidi"/>
          <w:szCs w:val="22"/>
        </w:rPr>
        <w:t>that operated alongside, and partially independently of, the FOI’s ministerial hierarchy.</w:t>
      </w:r>
    </w:p>
    <w:p w14:paraId="58BB385D" w14:textId="0801C85B" w:rsidR="000001F0" w:rsidRPr="009C0656" w:rsidRDefault="000001F0" w:rsidP="009C0656">
      <w:pPr>
        <w:spacing w:line="360" w:lineRule="auto"/>
        <w:jc w:val="both"/>
        <w:rPr>
          <w:rFonts w:cstheme="majorBidi"/>
          <w:szCs w:val="22"/>
        </w:rPr>
      </w:pPr>
      <w:r w:rsidRPr="009C0656">
        <w:rPr>
          <w:rFonts w:cstheme="majorBidi"/>
          <w:szCs w:val="22"/>
        </w:rPr>
        <w:t>The FOI responded to the structural condition of state hostility identified in the diagnostic frame. Where the MUI and MGT-GCC translated epistemological and domestic prescriptions into institutional practice, the FOI translated the movement’s account of organised violence into disciplined capacity for collective response. Its paramilitary structure, including captains, drills, tactical instruction, and firearms training, reflected the movement’s assessment of white institutional violence as an ongoing operational threat. Beynon (1938, p. 902) records that the FOI emerged from ‘fear of trouble with the unbelievers, especially with the police’ as ‘a military organization for the men who were drilled by captains and taught tactics and the use of firearms.’ The institution embodied the movement’s prognostic response to its diagnosis of external threat.</w:t>
      </w:r>
    </w:p>
    <w:p w14:paraId="1938D8B4" w14:textId="34BB7AA3" w:rsidR="005A07F5" w:rsidRPr="009C0656" w:rsidRDefault="000001F0" w:rsidP="009C0656">
      <w:pPr>
        <w:spacing w:line="360" w:lineRule="auto"/>
        <w:jc w:val="both"/>
        <w:rPr>
          <w:rFonts w:cstheme="majorBidi"/>
          <w:szCs w:val="22"/>
        </w:rPr>
      </w:pPr>
      <w:r w:rsidRPr="009C0656">
        <w:rPr>
          <w:rFonts w:cstheme="majorBidi"/>
          <w:szCs w:val="22"/>
        </w:rPr>
        <w:t xml:space="preserve">This commitment to institutional autonomy also extended into economic and educational organisation. Brother Roosevelt (1965, p. 25) contrasts the Muslim programme with an integrationist politics that would produce ‘only beggars and sharers because they are begging to share not to own’, while presenting the NOI as ‘doing for self in everything that is good for self.’ The MUI expressed a related objective, seeking ‘to enable Muslim children to receive instruction in an environment that was consistent with the [...] objectives of the organization... "know self," "love self," and "do for self"’ (Muhammad, 2022, p. 53). Dr McCullum </w:t>
      </w:r>
      <w:r w:rsidR="00CA688F" w:rsidRPr="009C0656">
        <w:rPr>
          <w:rFonts w:cstheme="majorBidi"/>
          <w:szCs w:val="22"/>
        </w:rPr>
        <w:t xml:space="preserve">(1971, p. 18) </w:t>
      </w:r>
      <w:r w:rsidRPr="009C0656">
        <w:rPr>
          <w:rFonts w:cstheme="majorBidi"/>
          <w:szCs w:val="22"/>
        </w:rPr>
        <w:t xml:space="preserve">similarly describes Elijah Muhammad’s </w:t>
      </w:r>
      <w:r w:rsidRPr="009C0656">
        <w:rPr>
          <w:rFonts w:cstheme="majorBidi"/>
          <w:szCs w:val="22"/>
        </w:rPr>
        <w:lastRenderedPageBreak/>
        <w:t>teachings and the institutions built around them as ‘the operating tools necessary to rid our people of the cancer which has destroyed our very existence for over 400 years</w:t>
      </w:r>
      <w:r w:rsidR="00CA688F" w:rsidRPr="009C0656">
        <w:rPr>
          <w:rFonts w:cstheme="majorBidi"/>
          <w:szCs w:val="22"/>
        </w:rPr>
        <w:t>.</w:t>
      </w:r>
      <w:r w:rsidRPr="009C0656">
        <w:rPr>
          <w:rFonts w:cstheme="majorBidi"/>
          <w:szCs w:val="22"/>
        </w:rPr>
        <w:t>’</w:t>
      </w:r>
    </w:p>
    <w:p w14:paraId="4EE081FB" w14:textId="3383B683" w:rsidR="006C52C0" w:rsidRPr="009C0656" w:rsidRDefault="00BE0BEE" w:rsidP="009C0656">
      <w:pPr>
        <w:spacing w:line="360" w:lineRule="auto"/>
        <w:jc w:val="both"/>
        <w:rPr>
          <w:rFonts w:cstheme="majorBidi"/>
          <w:szCs w:val="22"/>
        </w:rPr>
      </w:pPr>
      <w:r w:rsidRPr="009C0656">
        <w:rPr>
          <w:rFonts w:cstheme="majorBidi"/>
          <w:szCs w:val="22"/>
        </w:rPr>
        <w:t xml:space="preserve">The movement’s geographical expansion extended this counter-institutional system beyond Detroit. Expansion to Chicago in 1932, Harlem in 1940, and subsequently Philadelphia followed the strategic logic articulated in Fard’s correspondence with Elijah Muhammad. Fard (1933b) instructs him to ‘go over to Chicago unexpected, do not tell no one where you </w:t>
      </w:r>
      <w:proofErr w:type="gramStart"/>
      <w:r w:rsidRPr="009C0656">
        <w:rPr>
          <w:rFonts w:cstheme="majorBidi"/>
          <w:szCs w:val="22"/>
        </w:rPr>
        <w:t>going</w:t>
      </w:r>
      <w:proofErr w:type="gramEnd"/>
      <w:r w:rsidRPr="009C0656">
        <w:rPr>
          <w:rFonts w:cstheme="majorBidi"/>
          <w:szCs w:val="22"/>
        </w:rPr>
        <w:t xml:space="preserve"> or when you </w:t>
      </w:r>
      <w:proofErr w:type="gramStart"/>
      <w:r w:rsidRPr="009C0656">
        <w:rPr>
          <w:rFonts w:cstheme="majorBidi"/>
          <w:szCs w:val="22"/>
        </w:rPr>
        <w:t>going</w:t>
      </w:r>
      <w:proofErr w:type="gramEnd"/>
      <w:r w:rsidRPr="009C0656">
        <w:rPr>
          <w:rFonts w:cstheme="majorBidi"/>
          <w:szCs w:val="22"/>
        </w:rPr>
        <w:t xml:space="preserve"> [...] give them a lecture and run over to Milwaukee.’ Each new city extended the </w:t>
      </w:r>
      <w:proofErr w:type="gramStart"/>
      <w:r w:rsidRPr="009C0656">
        <w:rPr>
          <w:rFonts w:cstheme="majorBidi"/>
          <w:szCs w:val="22"/>
        </w:rPr>
        <w:t>counter-world</w:t>
      </w:r>
      <w:proofErr w:type="gramEnd"/>
      <w:r w:rsidRPr="009C0656">
        <w:rPr>
          <w:rFonts w:cstheme="majorBidi"/>
          <w:szCs w:val="22"/>
        </w:rPr>
        <w:t xml:space="preserve"> into another concentration of the 85%, with the temple serving as the spatial anchor for an alternative community. Institutional infrastructure therefore both enabled and followed membership consolidation, providing the organisational base through which the movement could reproduce its full programme across local settings.</w:t>
      </w:r>
    </w:p>
    <w:p w14:paraId="1ADF1D0E" w14:textId="7AD1196D" w:rsidR="00BE0BEE" w:rsidRPr="009C0656" w:rsidRDefault="00BE0BEE" w:rsidP="009C0656">
      <w:pPr>
        <w:spacing w:line="360" w:lineRule="auto"/>
        <w:jc w:val="both"/>
        <w:rPr>
          <w:rFonts w:cstheme="majorBidi"/>
          <w:szCs w:val="22"/>
        </w:rPr>
      </w:pPr>
      <w:r w:rsidRPr="009C0656">
        <w:rPr>
          <w:rFonts w:cstheme="majorBidi"/>
          <w:szCs w:val="22"/>
        </w:rPr>
        <w:t xml:space="preserve">The material effects of this institutional system were documented by external observers in terms closely related to the movement’s prognostic claims. Members who had been ‘recipients of public welfare, unemployed, and living in the most deteriorated areas of Negro settlement in Detroit’ when they encountered the movement were, by 1937, </w:t>
      </w:r>
      <w:r w:rsidR="005967AD" w:rsidRPr="009C0656">
        <w:rPr>
          <w:rFonts w:cstheme="majorBidi"/>
          <w:szCs w:val="22"/>
        </w:rPr>
        <w:t xml:space="preserve">reported as </w:t>
      </w:r>
      <w:r w:rsidRPr="009C0656">
        <w:rPr>
          <w:rFonts w:cstheme="majorBidi"/>
          <w:szCs w:val="22"/>
        </w:rPr>
        <w:t xml:space="preserve">fully employed, with Beynon </w:t>
      </w:r>
      <w:r w:rsidR="005967AD" w:rsidRPr="009C0656">
        <w:rPr>
          <w:rFonts w:cstheme="majorBidi"/>
          <w:szCs w:val="22"/>
        </w:rPr>
        <w:t xml:space="preserve">recording </w:t>
      </w:r>
      <w:r w:rsidRPr="009C0656">
        <w:rPr>
          <w:rFonts w:cstheme="majorBidi"/>
          <w:szCs w:val="22"/>
        </w:rPr>
        <w:t xml:space="preserve">no known case of unemployment among them (Beynon, 1938, p. 905). The ascetic programme restricted expenditure on liquor, tobacco, and pork, directing resources towards saving and other forms of consumption. Beynon (ibid.) further notes that converts moved from deteriorated inner-city districts and came to ‘purchase more expensive furniture, automobiles, and clothes than do their </w:t>
      </w:r>
      <w:proofErr w:type="spellStart"/>
      <w:r w:rsidRPr="009C0656">
        <w:rPr>
          <w:rFonts w:cstheme="majorBidi"/>
          <w:szCs w:val="22"/>
        </w:rPr>
        <w:t>neighbors</w:t>
      </w:r>
      <w:proofErr w:type="spellEnd"/>
      <w:r w:rsidRPr="009C0656">
        <w:rPr>
          <w:rFonts w:cstheme="majorBidi"/>
          <w:szCs w:val="22"/>
        </w:rPr>
        <w:t xml:space="preserve">.’ Employment practices also contributed to these outcomes, as ‘employment managers tend to accept more readily persons whose appearance gives evidence of clean living and self-reliance, than those who show the marks of debauchery, defeat, and despair’ (ibid.). </w:t>
      </w:r>
      <w:r w:rsidR="00057E44" w:rsidRPr="009C0656">
        <w:rPr>
          <w:rFonts w:cstheme="majorBidi"/>
          <w:szCs w:val="22"/>
        </w:rPr>
        <w:t>In</w:t>
      </w:r>
      <w:r w:rsidRPr="009C0656">
        <w:rPr>
          <w:rFonts w:cstheme="majorBidi"/>
          <w:szCs w:val="22"/>
        </w:rPr>
        <w:t xml:space="preserve"> a racially discriminatory labour market, the movement’s discipline generated material benefits through changes in self-presentation and employability.</w:t>
      </w:r>
    </w:p>
    <w:p w14:paraId="5297E09F" w14:textId="4032774E" w:rsidR="000721A3" w:rsidRPr="009C0656" w:rsidRDefault="00405F2B" w:rsidP="009C0656">
      <w:pPr>
        <w:spacing w:line="360" w:lineRule="auto"/>
        <w:jc w:val="both"/>
        <w:rPr>
          <w:rFonts w:cstheme="majorBidi"/>
          <w:szCs w:val="22"/>
        </w:rPr>
      </w:pPr>
      <w:r w:rsidRPr="009C0656">
        <w:rPr>
          <w:rFonts w:cstheme="majorBidi"/>
          <w:szCs w:val="22"/>
        </w:rPr>
        <w:t>The NOI interpreted such improvement through a theological frame in which material advancement signalled divine favour for obedience. Economic gains reinforce</w:t>
      </w:r>
      <w:r w:rsidR="007D4EDB" w:rsidRPr="009C0656">
        <w:rPr>
          <w:rFonts w:cstheme="majorBidi"/>
          <w:szCs w:val="22"/>
        </w:rPr>
        <w:t>d</w:t>
      </w:r>
      <w:r w:rsidRPr="009C0656">
        <w:rPr>
          <w:rFonts w:cstheme="majorBidi"/>
          <w:szCs w:val="22"/>
        </w:rPr>
        <w:t xml:space="preserve"> religious commitment as perceived evidence of the movement’s teachings, while the movement’s cooperative economic practices provided an institutional mechanism through which individual discipline could accumulate into collective self-reliance. The resulting parallel social infrastructure produced material effects that external observers regarded as remarkable, particularly given the extent to which these gains were generated through movement institutions operating alongside, and in some cases independently of, the wider social order.</w:t>
      </w:r>
    </w:p>
    <w:p w14:paraId="20893679" w14:textId="53AF2106" w:rsidR="00FB7A99" w:rsidRPr="009C0656" w:rsidRDefault="0044293F" w:rsidP="009C0656">
      <w:pPr>
        <w:pStyle w:val="TNRHeading3"/>
        <w:spacing w:line="360" w:lineRule="auto"/>
        <w:jc w:val="both"/>
        <w:rPr>
          <w:color w:val="auto"/>
        </w:rPr>
      </w:pPr>
      <w:r w:rsidRPr="009C0656">
        <w:rPr>
          <w:color w:val="auto"/>
        </w:rPr>
        <w:t>Biopolitical Transformation</w:t>
      </w:r>
    </w:p>
    <w:p w14:paraId="1AAE9B7A" w14:textId="78BBA719" w:rsidR="00D36B01" w:rsidRPr="009C0656" w:rsidRDefault="00F11339" w:rsidP="009C0656">
      <w:pPr>
        <w:spacing w:line="360" w:lineRule="auto"/>
        <w:jc w:val="both"/>
      </w:pPr>
      <w:r w:rsidRPr="009C0656">
        <w:t xml:space="preserve">The Nation’s prognostic framing extended into the management of the body itself. Structural conditions of racial inequality were experienced through the embodied consequences of poverty, poor nutrition, </w:t>
      </w:r>
      <w:r w:rsidRPr="009C0656">
        <w:lastRenderedPageBreak/>
        <w:t>illness, and physical deterioration. The body became a significant terrain upon which liberation could be enacted. Transformation required daily practices capable of reshaping the material conditions through which members experienced themselves and their place in the world. The biopolitical dimension of the prognostic frame engaged directly with everyday existence, including what members ate, how they maintained their households, and how they carried themselves physically. Bodily transformation was a practical necessity and a visible demonstration of the frame’s claims. This bodily discipline directly addressed the physical manifestations of urban racial capitalism. Modern spatial analyses demonstrate that the concentration of off-</w:t>
      </w:r>
      <w:proofErr w:type="gramStart"/>
      <w:r w:rsidRPr="009C0656">
        <w:t>premise</w:t>
      </w:r>
      <w:proofErr w:type="gramEnd"/>
      <w:r w:rsidRPr="009C0656">
        <w:t xml:space="preserve"> alcohol outlets, liquor stores, and low-quality food vendors in Black urban neighbourhoods reflected racialised zoning and targeted commercial exploitation by the liquor and food industries (Lee et al., 2008). </w:t>
      </w:r>
      <w:r w:rsidR="007E5450" w:rsidRPr="009C0656">
        <w:t>In</w:t>
      </w:r>
      <w:r w:rsidRPr="009C0656">
        <w:t xml:space="preserve"> these environments, practices associated with physical degradation were commercially sustained. By framing liquor stores and toxic dietary practices as instruments of institutionalised destruction, the movement identified the built commercial landscape as an extension of white domination.</w:t>
      </w:r>
    </w:p>
    <w:p w14:paraId="124DEA1F" w14:textId="0AA0410C" w:rsidR="00D36B01" w:rsidRPr="009C0656" w:rsidRDefault="004B217C" w:rsidP="009C0656">
      <w:pPr>
        <w:spacing w:line="360" w:lineRule="auto"/>
        <w:jc w:val="both"/>
      </w:pPr>
      <w:r w:rsidRPr="009C0656">
        <w:t>Black bodily vulnerability under Northern urban poverty in the 1930s provided the immediate conditions through which these dietary frames acquired meaning. Dietary deprivation, unequal access to food and medical care, and the material effects of Depression-era destitution formed the causal conditions upon which the movement’s prescriptions operated. Their effects were visible and immediate, while their causes were incorporated into the NOI’s diagnosis of the devil’s systematic management of Black existence. The prognostic response was a comprehensive dietary and domestic reformation that addressed bodily vulnerability as a structural consequence of racial domination.</w:t>
      </w:r>
    </w:p>
    <w:p w14:paraId="4BBC6A76" w14:textId="00F37216" w:rsidR="000B1E47" w:rsidRPr="009C0656" w:rsidRDefault="001B3980" w:rsidP="009C0656">
      <w:pPr>
        <w:spacing w:line="360" w:lineRule="auto"/>
        <w:jc w:val="both"/>
      </w:pPr>
      <w:r w:rsidRPr="009C0656">
        <w:t>Diet occupie</w:t>
      </w:r>
      <w:r w:rsidR="00A7669C" w:rsidRPr="009C0656">
        <w:t xml:space="preserve">s </w:t>
      </w:r>
      <w:r w:rsidRPr="009C0656">
        <w:t xml:space="preserve">a central position </w:t>
      </w:r>
      <w:r w:rsidR="00D84C41" w:rsidRPr="009C0656">
        <w:t>in</w:t>
      </w:r>
      <w:r w:rsidRPr="009C0656">
        <w:t xml:space="preserve"> this process. Early teachings repeatedly connected food</w:t>
      </w:r>
      <w:r w:rsidR="00B724D7" w:rsidRPr="009C0656">
        <w:t xml:space="preserve"> and </w:t>
      </w:r>
      <w:r w:rsidRPr="009C0656">
        <w:t>health</w:t>
      </w:r>
      <w:r w:rsidR="00B724D7" w:rsidRPr="009C0656">
        <w:t xml:space="preserve"> with</w:t>
      </w:r>
      <w:r w:rsidRPr="009C0656">
        <w:t xml:space="preserve"> collective advancement</w:t>
      </w:r>
      <w:r w:rsidR="00B724D7" w:rsidRPr="009C0656">
        <w:t>. Dietary</w:t>
      </w:r>
      <w:r w:rsidRPr="009C0656">
        <w:t xml:space="preserve"> regulation </w:t>
      </w:r>
      <w:r w:rsidR="00B724D7" w:rsidRPr="009C0656">
        <w:t xml:space="preserve">was presented as </w:t>
      </w:r>
      <w:r w:rsidRPr="009C0656">
        <w:t xml:space="preserve">a practical route towards bodily renewal. </w:t>
      </w:r>
      <w:r w:rsidR="00406A09" w:rsidRPr="009C0656">
        <w:t xml:space="preserve">Fard </w:t>
      </w:r>
      <w:r w:rsidR="005243A4" w:rsidRPr="009C0656">
        <w:t xml:space="preserve">allegedly </w:t>
      </w:r>
      <w:r w:rsidRPr="009C0656">
        <w:t xml:space="preserve">instructed followers: </w:t>
      </w:r>
      <w:r w:rsidR="006C1B80" w:rsidRPr="009C0656">
        <w:t>‘</w:t>
      </w:r>
      <w:r w:rsidRPr="009C0656">
        <w:t>Now don</w:t>
      </w:r>
      <w:r w:rsidR="006C1B80" w:rsidRPr="009C0656">
        <w:t>’</w:t>
      </w:r>
      <w:r w:rsidRPr="009C0656">
        <w:t>t eat this food. It is poison to you,</w:t>
      </w:r>
      <w:r w:rsidR="006C1B80" w:rsidRPr="009C0656">
        <w:t>’</w:t>
      </w:r>
      <w:r w:rsidRPr="009C0656">
        <w:t xml:space="preserve"> while associating proper dietary practice with enduring physical wellbeing</w:t>
      </w:r>
      <w:r w:rsidR="00A414C6" w:rsidRPr="009C0656">
        <w:t xml:space="preserve"> (Bontemps and Conroy, 1945</w:t>
      </w:r>
      <w:r w:rsidR="005243A4" w:rsidRPr="009C0656">
        <w:t>, p. 178</w:t>
      </w:r>
      <w:r w:rsidR="00A414C6" w:rsidRPr="009C0656">
        <w:t>)</w:t>
      </w:r>
      <w:r w:rsidRPr="009C0656">
        <w:t xml:space="preserve">. </w:t>
      </w:r>
      <w:r w:rsidR="000B1E47" w:rsidRPr="009C0656">
        <w:t>The term ‘poison’ carries the diagnostic vocabulary of spiritual and material contamination into dietary practice. Dietary reformation consequently became a practice of separation from the devil’s world and reconnection with the conditions of authentic existence.</w:t>
      </w:r>
    </w:p>
    <w:p w14:paraId="108F7CD6" w14:textId="6611F1C1" w:rsidR="001B3980" w:rsidRPr="009C0656" w:rsidRDefault="001B3980" w:rsidP="009C0656">
      <w:pPr>
        <w:spacing w:line="360" w:lineRule="auto"/>
        <w:jc w:val="both"/>
      </w:pPr>
      <w:r w:rsidRPr="009C0656">
        <w:t>The relationship between bodily discipline and collective development was further reinforced through teachings that prescribed the avoidance of specific foods and intoxicants alongside wider expectations of personal cleanliness and domestic order.</w:t>
      </w:r>
      <w:r w:rsidR="008F5924" w:rsidRPr="009C0656">
        <w:t xml:space="preserve"> Much of this becomes further developed </w:t>
      </w:r>
      <w:r w:rsidR="008326A5" w:rsidRPr="009C0656">
        <w:t xml:space="preserve">later on </w:t>
      </w:r>
      <w:r w:rsidR="00C253A5" w:rsidRPr="009C0656">
        <w:t xml:space="preserve">more formally </w:t>
      </w:r>
      <w:r w:rsidR="008F5924" w:rsidRPr="009C0656">
        <w:t>into Elijah Muhammad</w:t>
      </w:r>
      <w:r w:rsidR="006C1B80" w:rsidRPr="009C0656">
        <w:t>’</w:t>
      </w:r>
      <w:r w:rsidR="008F5924" w:rsidRPr="009C0656">
        <w:t xml:space="preserve">s </w:t>
      </w:r>
      <w:r w:rsidR="008326A5" w:rsidRPr="009C0656">
        <w:t xml:space="preserve">two volumes of </w:t>
      </w:r>
      <w:r w:rsidR="008326A5" w:rsidRPr="009C0656">
        <w:rPr>
          <w:i/>
          <w:iCs/>
        </w:rPr>
        <w:t>Eat to Live</w:t>
      </w:r>
      <w:r w:rsidRPr="009C0656">
        <w:t xml:space="preserve"> </w:t>
      </w:r>
      <w:r w:rsidR="008326A5" w:rsidRPr="009C0656">
        <w:t>(</w:t>
      </w:r>
      <w:r w:rsidR="00E7076B" w:rsidRPr="009C0656">
        <w:t>2008</w:t>
      </w:r>
      <w:r w:rsidR="00554F6A" w:rsidRPr="009C0656">
        <w:t>a</w:t>
      </w:r>
      <w:r w:rsidR="00E7076B" w:rsidRPr="009C0656">
        <w:t xml:space="preserve"> [</w:t>
      </w:r>
      <w:r w:rsidR="00F3030B" w:rsidRPr="009C0656">
        <w:t>1967</w:t>
      </w:r>
      <w:r w:rsidR="00E7076B" w:rsidRPr="009C0656">
        <w:t>]</w:t>
      </w:r>
      <w:r w:rsidR="00A53960" w:rsidRPr="009C0656">
        <w:t>; 2008</w:t>
      </w:r>
      <w:r w:rsidR="00554F6A" w:rsidRPr="009C0656">
        <w:t>b</w:t>
      </w:r>
      <w:r w:rsidR="00A53960" w:rsidRPr="009C0656">
        <w:t xml:space="preserve"> [1972]</w:t>
      </w:r>
      <w:r w:rsidR="008326A5" w:rsidRPr="009C0656">
        <w:t>).</w:t>
      </w:r>
      <w:r w:rsidR="00C253A5" w:rsidRPr="009C0656">
        <w:t xml:space="preserve"> </w:t>
      </w:r>
      <w:r w:rsidRPr="009C0656">
        <w:t>These prescriptions embedded the movement</w:t>
      </w:r>
      <w:r w:rsidR="006C1B80" w:rsidRPr="009C0656">
        <w:t>’</w:t>
      </w:r>
      <w:r w:rsidRPr="009C0656">
        <w:t>s teachings within the routines of everyday life, ensuring that adherence was enacted repeatedly through ordinary practices</w:t>
      </w:r>
      <w:r w:rsidR="00C253A5" w:rsidRPr="009C0656">
        <w:t>.</w:t>
      </w:r>
    </w:p>
    <w:p w14:paraId="0DD6EAF4" w14:textId="18D79F0D" w:rsidR="000E6492" w:rsidRPr="009C0656" w:rsidRDefault="003E7632" w:rsidP="009C0656">
      <w:pPr>
        <w:spacing w:line="360" w:lineRule="auto"/>
        <w:jc w:val="both"/>
      </w:pPr>
      <w:r w:rsidRPr="009C0656">
        <w:t xml:space="preserve">Amongst the </w:t>
      </w:r>
      <w:r w:rsidR="00D36B01" w:rsidRPr="009C0656">
        <w:t>specific</w:t>
      </w:r>
      <w:r w:rsidRPr="009C0656">
        <w:t xml:space="preserve">ities of the </w:t>
      </w:r>
      <w:r w:rsidR="00D36B01" w:rsidRPr="009C0656">
        <w:t>prescribed regimen</w:t>
      </w:r>
      <w:r w:rsidRPr="009C0656">
        <w:t xml:space="preserve"> include the </w:t>
      </w:r>
      <w:r w:rsidR="00D36B01" w:rsidRPr="009C0656">
        <w:t>require</w:t>
      </w:r>
      <w:r w:rsidRPr="009C0656">
        <w:t xml:space="preserve">ment </w:t>
      </w:r>
      <w:r w:rsidR="00D36B01" w:rsidRPr="009C0656">
        <w:t xml:space="preserve">to avoid </w:t>
      </w:r>
      <w:r w:rsidR="006C1B80" w:rsidRPr="009C0656">
        <w:t>‘</w:t>
      </w:r>
      <w:r w:rsidR="00D36B01" w:rsidRPr="009C0656">
        <w:t>all meat of poison animals, hogs, ducks, geese, possums and catfish</w:t>
      </w:r>
      <w:r w:rsidR="006C1B80" w:rsidRPr="009C0656">
        <w:t>’</w:t>
      </w:r>
      <w:r w:rsidR="00D36B01" w:rsidRPr="009C0656">
        <w:t xml:space="preserve"> and to </w:t>
      </w:r>
      <w:r w:rsidR="006C1B80" w:rsidRPr="009C0656">
        <w:t>‘</w:t>
      </w:r>
      <w:r w:rsidR="00D36B01" w:rsidRPr="009C0656">
        <w:t xml:space="preserve">give up completely the use of stimulants, </w:t>
      </w:r>
      <w:r w:rsidR="00D36B01" w:rsidRPr="009C0656">
        <w:lastRenderedPageBreak/>
        <w:t>especially liquor</w:t>
      </w:r>
      <w:r w:rsidR="006C1B80" w:rsidRPr="009C0656">
        <w:t>’</w:t>
      </w:r>
      <w:r w:rsidR="00D36B01" w:rsidRPr="009C0656">
        <w:t xml:space="preserve"> while cleaning </w:t>
      </w:r>
      <w:r w:rsidR="006C1B80" w:rsidRPr="009C0656">
        <w:t>‘</w:t>
      </w:r>
      <w:r w:rsidR="00D36B01" w:rsidRPr="009C0656">
        <w:t>both their bodies and their houses</w:t>
      </w:r>
      <w:r w:rsidR="006C1B80" w:rsidRPr="009C0656">
        <w:t>’</w:t>
      </w:r>
      <w:r w:rsidR="00D36B01" w:rsidRPr="009C0656">
        <w:t xml:space="preserve"> </w:t>
      </w:r>
      <w:r w:rsidR="00D36B01" w:rsidRPr="009C0656">
        <w:rPr>
          <w:b/>
          <w:bCs/>
        </w:rPr>
        <w:t>(</w:t>
      </w:r>
      <w:r w:rsidR="000674F8" w:rsidRPr="009C0656">
        <w:rPr>
          <w:b/>
          <w:bCs/>
        </w:rPr>
        <w:t xml:space="preserve">Beynon, </w:t>
      </w:r>
      <w:r w:rsidR="00D36B01" w:rsidRPr="009C0656">
        <w:rPr>
          <w:b/>
          <w:bCs/>
        </w:rPr>
        <w:t>1938</w:t>
      </w:r>
      <w:r w:rsidR="000674F8" w:rsidRPr="009C0656">
        <w:rPr>
          <w:b/>
          <w:bCs/>
        </w:rPr>
        <w:t xml:space="preserve">, p. </w:t>
      </w:r>
      <w:r w:rsidR="006D6E65" w:rsidRPr="009C0656">
        <w:rPr>
          <w:b/>
          <w:bCs/>
        </w:rPr>
        <w:t>901</w:t>
      </w:r>
      <w:r w:rsidR="00D36B01" w:rsidRPr="009C0656">
        <w:rPr>
          <w:b/>
          <w:bCs/>
        </w:rPr>
        <w:t>)</w:t>
      </w:r>
      <w:r w:rsidR="00D36B01" w:rsidRPr="009C0656">
        <w:t xml:space="preserve">. </w:t>
      </w:r>
      <w:r w:rsidR="003F270E" w:rsidRPr="009C0656">
        <w:t>T</w:t>
      </w:r>
      <w:r w:rsidR="00D36B01" w:rsidRPr="009C0656">
        <w:t xml:space="preserve">he </w:t>
      </w:r>
      <w:r w:rsidR="003F270E" w:rsidRPr="009C0656">
        <w:t xml:space="preserve">incorporation of the </w:t>
      </w:r>
      <w:r w:rsidR="00D36B01" w:rsidRPr="009C0656">
        <w:t>household into the body</w:t>
      </w:r>
      <w:r w:rsidR="006C1B80" w:rsidRPr="009C0656">
        <w:t>’</w:t>
      </w:r>
      <w:r w:rsidR="00D36B01" w:rsidRPr="009C0656">
        <w:t>s reform extend</w:t>
      </w:r>
      <w:r w:rsidR="003F270E" w:rsidRPr="009C0656">
        <w:t xml:space="preserve">s </w:t>
      </w:r>
      <w:r w:rsidR="00D36B01" w:rsidRPr="009C0656">
        <w:t xml:space="preserve">the biopolitical frame from individual physiology into the social space of daily life. Obedience to these prescriptions was framed as the condition under which Allah </w:t>
      </w:r>
      <w:r w:rsidR="006C1B80" w:rsidRPr="009C0656">
        <w:t>‘</w:t>
      </w:r>
      <w:r w:rsidR="00D36B01" w:rsidRPr="009C0656">
        <w:t>would take them back to the Paradise from which they had been stolen — the Holy City of Mecca,</w:t>
      </w:r>
      <w:r w:rsidR="006C1B80" w:rsidRPr="009C0656">
        <w:t>’</w:t>
      </w:r>
      <w:r w:rsidR="00D36B01" w:rsidRPr="009C0656">
        <w:t xml:space="preserve"> linking the material practice of dietary discipline directly to the geopolitical and eschatological dimensions of the prognostic frame</w:t>
      </w:r>
      <w:r w:rsidR="00FF553A" w:rsidRPr="009C0656">
        <w:t xml:space="preserve"> </w:t>
      </w:r>
      <w:r w:rsidR="00FF553A" w:rsidRPr="009C0656">
        <w:rPr>
          <w:b/>
          <w:bCs/>
        </w:rPr>
        <w:t>(</w:t>
      </w:r>
      <w:r w:rsidR="0079432D" w:rsidRPr="009C0656">
        <w:rPr>
          <w:b/>
          <w:bCs/>
        </w:rPr>
        <w:t>ibid.</w:t>
      </w:r>
      <w:r w:rsidR="00FF553A" w:rsidRPr="009C0656">
        <w:rPr>
          <w:b/>
          <w:bCs/>
        </w:rPr>
        <w:t>)</w:t>
      </w:r>
      <w:r w:rsidR="00D36B01" w:rsidRPr="009C0656">
        <w:t>. Bodily reformation and spatial liberation are</w:t>
      </w:r>
      <w:r w:rsidR="00FF553A" w:rsidRPr="009C0656">
        <w:t xml:space="preserve"> thus</w:t>
      </w:r>
      <w:r w:rsidR="00D36B01" w:rsidRPr="009C0656">
        <w:t xml:space="preserve"> rendered inseparable.</w:t>
      </w:r>
    </w:p>
    <w:p w14:paraId="0793A95F" w14:textId="4A168ABF" w:rsidR="00D36B01" w:rsidRPr="009C0656" w:rsidRDefault="000E6492" w:rsidP="009C0656">
      <w:pPr>
        <w:spacing w:line="360" w:lineRule="auto"/>
        <w:jc w:val="both"/>
      </w:pPr>
      <w:r w:rsidRPr="009C0656">
        <w:t xml:space="preserve">The empirical significance of this process is evident </w:t>
      </w:r>
      <w:r w:rsidR="00D84C41" w:rsidRPr="009C0656">
        <w:t>in</w:t>
      </w:r>
      <w:r w:rsidRPr="009C0656">
        <w:t xml:space="preserve"> early member testimonies. An article published in The </w:t>
      </w:r>
      <w:r w:rsidR="00785892" w:rsidRPr="009C0656">
        <w:rPr>
          <w:i/>
          <w:iCs/>
        </w:rPr>
        <w:t>FCTI</w:t>
      </w:r>
      <w:r w:rsidRPr="009C0656">
        <w:t xml:space="preserve"> recount</w:t>
      </w:r>
      <w:r w:rsidR="00D3376F" w:rsidRPr="009C0656">
        <w:t>s</w:t>
      </w:r>
      <w:r w:rsidRPr="009C0656">
        <w:t xml:space="preserve"> the experience of several women who, after adopting the teachings, had </w:t>
      </w:r>
      <w:r w:rsidR="006C1B80" w:rsidRPr="009C0656">
        <w:t>‘</w:t>
      </w:r>
      <w:r w:rsidRPr="009C0656">
        <w:t>reduced by living according to Prophet Fard Muhammad</w:t>
      </w:r>
      <w:r w:rsidR="006C1B80" w:rsidRPr="009C0656">
        <w:t>’</w:t>
      </w:r>
      <w:r w:rsidRPr="009C0656">
        <w:t>s teachings, approximately 13</w:t>
      </w:r>
      <w:r w:rsidR="00A830CE" w:rsidRPr="009C0656">
        <w:t>2</w:t>
      </w:r>
      <w:r w:rsidRPr="009C0656">
        <w:t xml:space="preserve"> pounds</w:t>
      </w:r>
      <w:r w:rsidR="006C1B80" w:rsidRPr="009C0656">
        <w:t>’</w:t>
      </w:r>
      <w:r w:rsidR="00C34427" w:rsidRPr="009C0656">
        <w:t xml:space="preserve"> (</w:t>
      </w:r>
      <w:r w:rsidR="00776495" w:rsidRPr="009C0656">
        <w:rPr>
          <w:b/>
          <w:bCs/>
        </w:rPr>
        <w:t>Sharrieff, 1934</w:t>
      </w:r>
      <w:r w:rsidR="00C34427" w:rsidRPr="009C0656">
        <w:t xml:space="preserve">). </w:t>
      </w:r>
      <w:r w:rsidRPr="009C0656">
        <w:t>The importance of such accounts lay in their function as experiential validation. Bodily change provided tangible evidence that the movement</w:t>
      </w:r>
      <w:r w:rsidR="006C1B80" w:rsidRPr="009C0656">
        <w:t>’</w:t>
      </w:r>
      <w:r w:rsidRPr="009C0656">
        <w:t xml:space="preserve">s prescriptions produced observable effects </w:t>
      </w:r>
      <w:r w:rsidR="00D84C41" w:rsidRPr="009C0656">
        <w:t>in</w:t>
      </w:r>
      <w:r w:rsidRPr="009C0656">
        <w:t xml:space="preserve"> the lives of adherents.</w:t>
      </w:r>
      <w:r w:rsidR="00D36B01" w:rsidRPr="009C0656">
        <w:t xml:space="preserve"> </w:t>
      </w:r>
      <w:r w:rsidR="00685D66" w:rsidRPr="009C0656">
        <w:t>As such, t</w:t>
      </w:r>
      <w:r w:rsidR="00D36B01" w:rsidRPr="009C0656">
        <w:t xml:space="preserve">he reformed body </w:t>
      </w:r>
      <w:r w:rsidR="00685D66" w:rsidRPr="009C0656">
        <w:t xml:space="preserve">becomes </w:t>
      </w:r>
      <w:r w:rsidR="00D36B01" w:rsidRPr="009C0656">
        <w:t>a walking demonstration of the movement</w:t>
      </w:r>
      <w:r w:rsidR="006C1B80" w:rsidRPr="009C0656">
        <w:t>’</w:t>
      </w:r>
      <w:r w:rsidR="00D36B01" w:rsidRPr="009C0656">
        <w:t>s claims</w:t>
      </w:r>
      <w:r w:rsidR="00513A93" w:rsidRPr="009C0656">
        <w:t xml:space="preserve"> and</w:t>
      </w:r>
      <w:r w:rsidR="00D36B01" w:rsidRPr="009C0656">
        <w:t xml:space="preserve"> a daily performative confirmation of the diagnostic frame.</w:t>
      </w:r>
    </w:p>
    <w:p w14:paraId="35FDC72B" w14:textId="46F5A150" w:rsidR="00125DF0" w:rsidRPr="00B16E64" w:rsidRDefault="00533B1B" w:rsidP="00B16E64">
      <w:pPr>
        <w:spacing w:line="360" w:lineRule="auto"/>
        <w:jc w:val="both"/>
      </w:pPr>
      <w:r w:rsidRPr="009C0656">
        <w:t>Furthermore, t</w:t>
      </w:r>
      <w:r w:rsidR="00D36B01" w:rsidRPr="009C0656">
        <w:t>he concept of awakening</w:t>
      </w:r>
      <w:r w:rsidR="00B53A71" w:rsidRPr="009C0656">
        <w:t xml:space="preserve"> to knowledge of self becomes prominent in these accounts.</w:t>
      </w:r>
      <w:r w:rsidR="00D36B01" w:rsidRPr="009C0656">
        <w:t xml:space="preserve"> </w:t>
      </w:r>
      <w:r w:rsidR="009759E2" w:rsidRPr="009C0656">
        <w:t>B</w:t>
      </w:r>
      <w:r w:rsidR="00D36B01" w:rsidRPr="009C0656">
        <w:t>eyond the dietary context</w:t>
      </w:r>
      <w:r w:rsidR="009759E2" w:rsidRPr="009C0656">
        <w:t>,</w:t>
      </w:r>
      <w:r w:rsidR="00D36B01" w:rsidRPr="009C0656">
        <w:t xml:space="preserve"> </w:t>
      </w:r>
      <w:r w:rsidR="009759E2" w:rsidRPr="009C0656">
        <w:t xml:space="preserve">the </w:t>
      </w:r>
      <w:r w:rsidR="00D36B01" w:rsidRPr="009C0656">
        <w:t>body</w:t>
      </w:r>
      <w:r w:rsidR="006C1B80" w:rsidRPr="009C0656">
        <w:t>’</w:t>
      </w:r>
      <w:r w:rsidR="00D36B01" w:rsidRPr="009C0656">
        <w:t xml:space="preserve">s transformation </w:t>
      </w:r>
      <w:r w:rsidR="009759E2" w:rsidRPr="009C0656">
        <w:t xml:space="preserve">appears </w:t>
      </w:r>
      <w:r w:rsidR="00D36B01" w:rsidRPr="009C0656">
        <w:t>as a consequence of epistemological change rather than a separate practice</w:t>
      </w:r>
      <w:r w:rsidR="009759E2" w:rsidRPr="009C0656">
        <w:t xml:space="preserve"> where </w:t>
      </w:r>
      <w:r w:rsidR="00D36B01" w:rsidRPr="009C0656">
        <w:t>knowledge of self produces a different relationship to the body</w:t>
      </w:r>
      <w:r w:rsidR="009759E2" w:rsidRPr="009C0656">
        <w:t>.</w:t>
      </w:r>
      <w:r w:rsidR="00D36B01" w:rsidRPr="009C0656">
        <w:t xml:space="preserve"> </w:t>
      </w:r>
      <w:r w:rsidR="00CC294D" w:rsidRPr="009C0656">
        <w:t xml:space="preserve">Producing </w:t>
      </w:r>
      <w:r w:rsidR="00D36B01" w:rsidRPr="009C0656">
        <w:t>visible physical change constitutes further evidence of the knowledge</w:t>
      </w:r>
      <w:r w:rsidR="006C1B80" w:rsidRPr="009C0656">
        <w:t>’</w:t>
      </w:r>
      <w:r w:rsidR="00D36B01" w:rsidRPr="009C0656">
        <w:t xml:space="preserve">s truth. This circular logic of confirmation is characteristic of the prognostic frame as a whole. </w:t>
      </w:r>
      <w:r w:rsidR="008C3BBA" w:rsidRPr="009C0656">
        <w:t>The body, reclaimed through dietary discipline, becomes legible as the Original Man</w:t>
      </w:r>
      <w:r w:rsidR="006C1B80" w:rsidRPr="009C0656">
        <w:t>’</w:t>
      </w:r>
      <w:r w:rsidR="008C3BBA" w:rsidRPr="009C0656">
        <w:t>s body, freed from the physical condition associated with the devil</w:t>
      </w:r>
      <w:r w:rsidR="006C1B80" w:rsidRPr="009C0656">
        <w:t>’</w:t>
      </w:r>
      <w:r w:rsidR="008C3BBA" w:rsidRPr="009C0656">
        <w:t>s poison and its legacy of enslavement.</w:t>
      </w:r>
      <w:r w:rsidR="00D36B01" w:rsidRPr="009C0656">
        <w:t xml:space="preserve"> </w:t>
      </w:r>
      <w:r w:rsidR="00CC294D" w:rsidRPr="009C0656">
        <w:t xml:space="preserve">These different </w:t>
      </w:r>
      <w:r w:rsidR="00D36B01" w:rsidRPr="009C0656">
        <w:t>dimensions of prognostic fram</w:t>
      </w:r>
      <w:r w:rsidR="00CC294D" w:rsidRPr="009C0656">
        <w:t xml:space="preserve">ing </w:t>
      </w:r>
      <w:r w:rsidR="001512AA" w:rsidRPr="009C0656">
        <w:t xml:space="preserve">are therefore </w:t>
      </w:r>
      <w:r w:rsidR="00D36B01" w:rsidRPr="009C0656">
        <w:t>mutually reinforcing operations, each providing the other with its most immediate and verifiable form of evidence.</w:t>
      </w:r>
    </w:p>
    <w:p w14:paraId="2C5CF16D" w14:textId="5FE02BD0" w:rsidR="00FB7A99" w:rsidRPr="009C0656" w:rsidRDefault="00FB7A99" w:rsidP="009C0656">
      <w:pPr>
        <w:pStyle w:val="TNRHeading3"/>
        <w:spacing w:line="360" w:lineRule="auto"/>
        <w:jc w:val="both"/>
        <w:rPr>
          <w:color w:val="auto"/>
        </w:rPr>
      </w:pPr>
      <w:r w:rsidRPr="009C0656">
        <w:rPr>
          <w:color w:val="auto"/>
        </w:rPr>
        <w:t>Geopolitical Reorientation</w:t>
      </w:r>
    </w:p>
    <w:p w14:paraId="66FB2CCE" w14:textId="57E209AF" w:rsidR="00035100" w:rsidRPr="009C0656" w:rsidRDefault="002D4BFD" w:rsidP="009C0656">
      <w:pPr>
        <w:spacing w:line="360" w:lineRule="auto"/>
        <w:jc w:val="both"/>
      </w:pPr>
      <w:r w:rsidRPr="009C0656">
        <w:t xml:space="preserve">The experience of political powerlessness </w:t>
      </w:r>
      <w:r w:rsidR="009B6E64" w:rsidRPr="009C0656">
        <w:t>across</w:t>
      </w:r>
      <w:r w:rsidRPr="009C0656">
        <w:t xml:space="preserve"> a hostile nation-state creates space for a prognostic reorientation of Black Americans’ position </w:t>
      </w:r>
      <w:r w:rsidR="009B6E64" w:rsidRPr="009C0656">
        <w:t xml:space="preserve">throughout </w:t>
      </w:r>
      <w:r w:rsidRPr="009C0656">
        <w:t>the global order. In the 1930s, millions of Black Americans lived within a white-dominated state whose legal and economic structures had been directed against their interests across the preceding century. A prognostic frame confined to the domestic arena would therefore remain constrained by the same asymmetry it sought to overcome. The NOI instead repositioned Black Americans within a global demographic and political order.</w:t>
      </w:r>
    </w:p>
    <w:p w14:paraId="4CF2B786" w14:textId="6F5FF44D" w:rsidR="00035100" w:rsidRPr="009C0656" w:rsidRDefault="00F7265B" w:rsidP="009C0656">
      <w:pPr>
        <w:spacing w:line="360" w:lineRule="auto"/>
        <w:jc w:val="both"/>
      </w:pPr>
      <w:r w:rsidRPr="009C0656">
        <w:t>Fard (1934</w:t>
      </w:r>
      <w:r w:rsidR="00280629" w:rsidRPr="009C0656">
        <w:t>, Student Enrolment</w:t>
      </w:r>
      <w:r w:rsidRPr="009C0656">
        <w:t xml:space="preserve">) addresses this through an explicitly arithmetical comparison, contrasting 17 million Black Americans in the ‘wilderness of North America’ with ‘4,400,000,000’ original people worldwide, while placing the global </w:t>
      </w:r>
      <w:r w:rsidR="003F2400" w:rsidRPr="009C0656">
        <w:t>‘</w:t>
      </w:r>
      <w:r w:rsidRPr="009C0656">
        <w:t>Coloured</w:t>
      </w:r>
      <w:r w:rsidR="003F2400" w:rsidRPr="009C0656">
        <w:t>’</w:t>
      </w:r>
      <w:r w:rsidRPr="009C0656">
        <w:t xml:space="preserve"> population at 400 million. Although these figures bear little relation to contemporaneous demographic data, their asymmetry is rhetorically </w:t>
      </w:r>
      <w:r w:rsidRPr="009C0656">
        <w:lastRenderedPageBreak/>
        <w:t xml:space="preserve">significant. The </w:t>
      </w:r>
      <w:r w:rsidR="003F2400" w:rsidRPr="009C0656">
        <w:t>‘</w:t>
      </w:r>
      <w:r w:rsidRPr="009C0656">
        <w:t>Original</w:t>
      </w:r>
      <w:r w:rsidR="003F2400" w:rsidRPr="009C0656">
        <w:t>’</w:t>
      </w:r>
      <w:r w:rsidRPr="009C0656">
        <w:t xml:space="preserve"> population is consistently inflated, while the </w:t>
      </w:r>
      <w:r w:rsidR="003F2400" w:rsidRPr="009C0656">
        <w:t>‘</w:t>
      </w:r>
      <w:r w:rsidRPr="009C0656">
        <w:t>Coloured</w:t>
      </w:r>
      <w:r w:rsidR="003F2400" w:rsidRPr="009C0656">
        <w:t>’</w:t>
      </w:r>
      <w:r w:rsidRPr="009C0656">
        <w:t xml:space="preserve"> population is diminished relative to European-descended populations. This performative arithmetic amplifies the in-group and reduces the numerical significance of the out-group, relocating a domestically powerless minority </w:t>
      </w:r>
      <w:r w:rsidR="009B6E64" w:rsidRPr="009C0656">
        <w:t>in</w:t>
      </w:r>
      <w:r w:rsidRPr="009C0656">
        <w:t xml:space="preserve"> an imagined global majority. The power asymmetry that appeared overwhelming within the domestic frame is recast as a local arrangement sustained by the boundaries of the ‘devil’s cave’ civilisation.</w:t>
      </w:r>
    </w:p>
    <w:p w14:paraId="16775D9C" w14:textId="290E95A6" w:rsidR="00035100" w:rsidRPr="009C0656" w:rsidRDefault="00F7265B" w:rsidP="009C0656">
      <w:pPr>
        <w:spacing w:line="360" w:lineRule="auto"/>
        <w:jc w:val="both"/>
      </w:pPr>
      <w:proofErr w:type="spellStart"/>
      <w:r w:rsidRPr="009C0656">
        <w:t>Kallat</w:t>
      </w:r>
      <w:r w:rsidR="00A1639B">
        <w:t>t</w:t>
      </w:r>
      <w:proofErr w:type="spellEnd"/>
      <w:r w:rsidRPr="009C0656">
        <w:t xml:space="preserve"> Mohammed (1934) develops this reorientation by declaring that the Muslim, knowing the number of his brothers throughout the world, ‘has lost all fear of his enemy’. The shift from domestic to global calculation carries an affective as well as geopolitical consequence. </w:t>
      </w:r>
      <w:proofErr w:type="spellStart"/>
      <w:r w:rsidRPr="009C0656">
        <w:t>Kallat</w:t>
      </w:r>
      <w:r w:rsidR="00A1639B">
        <w:t>t</w:t>
      </w:r>
      <w:proofErr w:type="spellEnd"/>
      <w:r w:rsidRPr="009C0656">
        <w:t xml:space="preserve"> (ibid.) adds: ‘Islam teaches that the Muslim has the whole Muslim World behind him, with all of its righteousness, and that the power of ALLAH will prevail.’ The imagined global community </w:t>
      </w:r>
      <w:r w:rsidR="00C34CFA" w:rsidRPr="009C0656">
        <w:t xml:space="preserve">was constructed to </w:t>
      </w:r>
      <w:r w:rsidR="00126B02" w:rsidRPr="009C0656">
        <w:t xml:space="preserve">provide </w:t>
      </w:r>
      <w:r w:rsidRPr="009C0656">
        <w:t xml:space="preserve">members with a source of collective strength from which local action </w:t>
      </w:r>
      <w:r w:rsidR="007D4EDB" w:rsidRPr="009C0656">
        <w:t xml:space="preserve">became </w:t>
      </w:r>
      <w:r w:rsidRPr="009C0656">
        <w:t>more conceivable. The movement repeatedly connected domestic struggles to developments in the wider Islamic world, expanding the imagined constituency available to adherents and providing a broader horizon through which present conditions could be interpreted.</w:t>
      </w:r>
    </w:p>
    <w:p w14:paraId="13FB12BE" w14:textId="4A7DF21F" w:rsidR="00FE5098" w:rsidRPr="009C0656" w:rsidRDefault="00FE5098" w:rsidP="009C0656">
      <w:pPr>
        <w:spacing w:line="360" w:lineRule="auto"/>
        <w:jc w:val="both"/>
      </w:pPr>
      <w:r w:rsidRPr="009C0656">
        <w:t xml:space="preserve">References to Mecca reinforced this orientation. Teachings identifying Black Americans as members stolen from the Holy City of Mecca situated their contemporary circumstances </w:t>
      </w:r>
      <w:r w:rsidR="009B6E64" w:rsidRPr="009C0656">
        <w:t>in</w:t>
      </w:r>
      <w:r w:rsidRPr="009C0656">
        <w:t xml:space="preserve"> a history that preceded the American nation-state. Mecca functioned as geographical origin, civilisational reference, and destination within the movement’s narrative of restoration. Fard’s own claimed Meccan origin further connected leadership authority to this geographical reorientation. The </w:t>
      </w:r>
      <w:r w:rsidRPr="009C0656">
        <w:rPr>
          <w:i/>
          <w:iCs/>
        </w:rPr>
        <w:t>FCTI</w:t>
      </w:r>
      <w:r w:rsidRPr="009C0656">
        <w:t xml:space="preserve"> identifies him as one ‘who hails from the Holy City Mecca to deliver the Oppressed Blacks of America’, making his presence among adherents a living expression of the geopolitical order the movement sought to restore (E. Muhammad, 1934a).</w:t>
      </w:r>
    </w:p>
    <w:p w14:paraId="24346004" w14:textId="52AD810F" w:rsidR="00187C50" w:rsidRPr="009C0656" w:rsidRDefault="001F7875" w:rsidP="009C0656">
      <w:pPr>
        <w:spacing w:line="360" w:lineRule="auto"/>
        <w:jc w:val="both"/>
      </w:pPr>
      <w:r w:rsidRPr="009C0656">
        <w:t xml:space="preserve">This reorientation acquired institutional form through the ritual disavowal of American identity. Members understood themselves as ‘citizens of the Holy City of Mecca’ whose ‘only allegiance was to the Moslem flag’ (Beynon, 1938, p. 903). Refusal of allegiance to the American flag, withdrawal of children from public schools, and the establishment of parallel registration systems incorporated this reorientation into everyday practice. The separatist programme followed from a diagnosis in which integration into American civilisation was understood as an existence premised on self-alienation. Experiences with welfare agents, discriminatory employers, and hostile educational authorities provided direct encounters through which this diagnosis acquired experiential force. </w:t>
      </w:r>
      <w:r w:rsidR="00023E60" w:rsidRPr="009C0656">
        <w:t xml:space="preserve">The separatist frame was </w:t>
      </w:r>
      <w:r w:rsidR="00126B02" w:rsidRPr="009C0656">
        <w:t xml:space="preserve">positioned to appear </w:t>
      </w:r>
      <w:r w:rsidR="00023E60" w:rsidRPr="009C0656">
        <w:t>experientially self-evident to those who had already encountered its diagnosis in their daily lives.</w:t>
      </w:r>
    </w:p>
    <w:p w14:paraId="660B318E" w14:textId="6B4E98E4" w:rsidR="002A1C38" w:rsidRPr="009C0656" w:rsidRDefault="004622A3" w:rsidP="009C0656">
      <w:pPr>
        <w:spacing w:line="360" w:lineRule="auto"/>
        <w:jc w:val="both"/>
      </w:pPr>
      <w:r w:rsidRPr="009C0656">
        <w:t xml:space="preserve">The movement’s separatist demands express this imperative explicitly: ‘Come out from them (devils) and get on to your own kind, or die, for the time is at hand. Your King is here to deliver us — everyone </w:t>
      </w:r>
      <w:r w:rsidRPr="009C0656">
        <w:lastRenderedPageBreak/>
        <w:t xml:space="preserve">that has ASIATIC BLOOD. GET ON TO YOUR KIND’ (E. Muhammad, 1934b). The passage links geographical separation to the movement’s apocalyptic temporality while extending ‘Asiatic blood’ beyond the domestic Black population towards the global majority quantified in the </w:t>
      </w:r>
      <w:r w:rsidRPr="009C0656">
        <w:rPr>
          <w:i/>
          <w:iCs/>
        </w:rPr>
        <w:t>Lessons</w:t>
      </w:r>
      <w:r w:rsidRPr="009C0656">
        <w:t xml:space="preserve">. </w:t>
      </w:r>
      <w:r w:rsidR="000651CF" w:rsidRPr="009C0656">
        <w:t xml:space="preserve">Every </w:t>
      </w:r>
      <w:r w:rsidR="002A1C38" w:rsidRPr="009C0656">
        <w:t xml:space="preserve">member </w:t>
      </w:r>
      <w:r w:rsidR="000651CF" w:rsidRPr="009C0656">
        <w:t xml:space="preserve">is drawn </w:t>
      </w:r>
      <w:r w:rsidR="002A1C38" w:rsidRPr="009C0656">
        <w:t xml:space="preserve">into a solidarity that the domestic frame could not produce. </w:t>
      </w:r>
    </w:p>
    <w:p w14:paraId="22F84C8D" w14:textId="1C74D778" w:rsidR="00645D15" w:rsidRPr="009C0656" w:rsidRDefault="008E2B61" w:rsidP="009C0656">
      <w:pPr>
        <w:spacing w:line="360" w:lineRule="auto"/>
        <w:jc w:val="both"/>
      </w:pPr>
      <w:r w:rsidRPr="009C0656">
        <w:t>The movement’s insistence on Asiatic rather than African identification further informs the solution of separation. Fard (1934</w:t>
      </w:r>
      <w:r w:rsidR="005C3C16" w:rsidRPr="009C0656">
        <w:t>, Lost-Found Muslim Lesson No. 1, Question 6</w:t>
      </w:r>
      <w:r w:rsidRPr="009C0656">
        <w:t xml:space="preserve">) states that ‘the original people call this continent — Asia, but the Devils call it, Africa, to try to divide them. He wants us to think that we are all different.’ The renaming of the African continent is a diagnostic claim about the devil’s strategy of division, but its prognostic consequence is a specific form of global solidarity that reaches across the entire non-white world. Asiatic identity encompasses not only the descendants of the African diaspora but the entire global majority, including Arab, Asian, and Brown peoples, </w:t>
      </w:r>
      <w:r w:rsidR="009B6E64" w:rsidRPr="009C0656">
        <w:t>in</w:t>
      </w:r>
      <w:r w:rsidRPr="009C0656">
        <w:t xml:space="preserve"> a single original nation whose unity the devil’s renaming had been designed to conceal. This expansive framing reflects a wider anti-colonial logic, as Morrow (2019) suggests in his study of Fard’s origins, the movement’s adoption of </w:t>
      </w:r>
      <w:r w:rsidR="00CC7DBD" w:rsidRPr="009C0656">
        <w:t>‘</w:t>
      </w:r>
      <w:r w:rsidRPr="009C0656">
        <w:t>Asiatic</w:t>
      </w:r>
      <w:r w:rsidR="00CC7DBD" w:rsidRPr="009C0656">
        <w:t>’</w:t>
      </w:r>
      <w:r w:rsidRPr="009C0656">
        <w:t xml:space="preserve"> and </w:t>
      </w:r>
      <w:r w:rsidR="00CC7DBD" w:rsidRPr="009C0656">
        <w:t>‘</w:t>
      </w:r>
      <w:r w:rsidRPr="009C0656">
        <w:t>Black</w:t>
      </w:r>
      <w:r w:rsidR="00CC7DBD" w:rsidRPr="009C0656">
        <w:t>’</w:t>
      </w:r>
      <w:r w:rsidRPr="009C0656">
        <w:t xml:space="preserve"> echoed British imperial classifications, where </w:t>
      </w:r>
      <w:r w:rsidR="00CC7DBD" w:rsidRPr="009C0656">
        <w:t>‘B</w:t>
      </w:r>
      <w:r w:rsidRPr="009C0656">
        <w:t>lack</w:t>
      </w:r>
      <w:r w:rsidR="00CC7DBD" w:rsidRPr="009C0656">
        <w:t>’</w:t>
      </w:r>
      <w:r w:rsidRPr="009C0656">
        <w:t xml:space="preserve"> functioned broadly as a synonym for non-white. Adopting this broader paradigm allowed Black Americans to reframe their local racial condition as part of a global, anti-imperial majority. The member who accepts the Asiatic identification thereby inhabits a different map of the world, one in which the boundaries the devil drew have been erased and the original geography of the Original Nation restored. </w:t>
      </w:r>
    </w:p>
    <w:p w14:paraId="2A9D8322" w14:textId="60707CB8" w:rsidR="00645D15" w:rsidRPr="009C0656" w:rsidRDefault="008168FC" w:rsidP="009C0656">
      <w:pPr>
        <w:spacing w:line="360" w:lineRule="auto"/>
        <w:jc w:val="both"/>
      </w:pPr>
      <w:r w:rsidRPr="009C0656">
        <w:t>This separatist call was amplified across the movement’s growing ranks.</w:t>
      </w:r>
      <w:r w:rsidR="00155E31" w:rsidRPr="009C0656">
        <w:t xml:space="preserve"> Lewis (1934), an early female contributor and MGT-GCC member, similarly urged readers in the </w:t>
      </w:r>
      <w:r w:rsidR="00155E31" w:rsidRPr="009C0656">
        <w:rPr>
          <w:i/>
          <w:iCs/>
        </w:rPr>
        <w:t>FCTI</w:t>
      </w:r>
      <w:r w:rsidR="00155E31" w:rsidRPr="009C0656">
        <w:t xml:space="preserve">: ‘My people, wake up and flee from Christendom... Depart from Christendom and be no more entangled with that yoke of bondage.’ Its repetition across movement contributors suggests that geopolitical separation had become a collective responsibility of the movement’s vanguard. Departing from Christendom consequently entailed withdrawal from the civilisational and religious order that the NOI’s diagnostic frame had associated with the devil’s dominion. Once members were positioned </w:t>
      </w:r>
      <w:r w:rsidR="009B6E64" w:rsidRPr="009C0656">
        <w:t>in</w:t>
      </w:r>
      <w:r w:rsidR="00155E31" w:rsidRPr="009C0656">
        <w:t xml:space="preserve"> a global majority whose history extended beyond the United States, separation acquired a broader political and temporal horizon, opening an alternative geography through which collective action could be imagined.</w:t>
      </w:r>
    </w:p>
    <w:p w14:paraId="2161233C" w14:textId="67F2BB60" w:rsidR="004A5C48" w:rsidRPr="009C0656" w:rsidRDefault="004A5C48" w:rsidP="009C0656">
      <w:pPr>
        <w:spacing w:line="360" w:lineRule="auto"/>
        <w:jc w:val="both"/>
        <w:rPr>
          <w:b/>
          <w:bCs/>
        </w:rPr>
      </w:pPr>
    </w:p>
    <w:p w14:paraId="54EBD58E" w14:textId="77777777" w:rsidR="004A5C48" w:rsidRPr="009C0656" w:rsidRDefault="004A5C48" w:rsidP="009C0656">
      <w:pPr>
        <w:spacing w:line="360" w:lineRule="auto"/>
        <w:jc w:val="both"/>
      </w:pPr>
      <w:r w:rsidRPr="009C0656">
        <w:br w:type="page"/>
      </w:r>
    </w:p>
    <w:p w14:paraId="75AF6646" w14:textId="73CE85B1" w:rsidR="00D75DEC" w:rsidRPr="009C0656" w:rsidRDefault="00FB7A99" w:rsidP="009C0656">
      <w:pPr>
        <w:pStyle w:val="TNRHeading2"/>
        <w:spacing w:line="360" w:lineRule="auto"/>
        <w:jc w:val="both"/>
        <w:rPr>
          <w:color w:val="auto"/>
        </w:rPr>
      </w:pPr>
      <w:r w:rsidRPr="009C0656">
        <w:rPr>
          <w:color w:val="auto"/>
        </w:rPr>
        <w:lastRenderedPageBreak/>
        <w:t>Motivational Framing</w:t>
      </w:r>
    </w:p>
    <w:p w14:paraId="7EAE3BF5" w14:textId="163F6B40" w:rsidR="0054513A" w:rsidRPr="009C0656" w:rsidRDefault="0054513A" w:rsidP="009C0656">
      <w:pPr>
        <w:pStyle w:val="TNRHeading3"/>
        <w:spacing w:line="360" w:lineRule="auto"/>
        <w:jc w:val="both"/>
        <w:rPr>
          <w:color w:val="auto"/>
        </w:rPr>
      </w:pPr>
      <w:r w:rsidRPr="009C0656">
        <w:rPr>
          <w:color w:val="auto"/>
        </w:rPr>
        <w:t>Transforming Passivity into Agency</w:t>
      </w:r>
    </w:p>
    <w:p w14:paraId="09D02FE3" w14:textId="3EB932FB" w:rsidR="002558A1" w:rsidRPr="009C0656" w:rsidRDefault="002558A1" w:rsidP="009C0656">
      <w:pPr>
        <w:spacing w:line="360" w:lineRule="auto"/>
        <w:jc w:val="both"/>
      </w:pPr>
      <w:r w:rsidRPr="009C0656">
        <w:rPr>
          <w:rFonts w:cstheme="majorBidi"/>
          <w:szCs w:val="22"/>
        </w:rPr>
        <w:t>The diagnostic and prognostic frames examined across the preceding sections establish what is wrong and what must be done about it. The motivational frame addresses the corresponding question of why action is necessary and why it must occur now. Its function is to convert cognitive recognition into sustained, embodied commitment. This motivational problem is distinct from diagnosis and prescription and is prominent throughout the Period 1 corpus.</w:t>
      </w:r>
      <w:r w:rsidR="005D13CF" w:rsidRPr="009C0656">
        <w:rPr>
          <w:rFonts w:cstheme="majorBidi"/>
          <w:szCs w:val="22"/>
        </w:rPr>
        <w:t xml:space="preserve"> Motivational framing is analysed here as a further instance of leadership operating as an agential mechanism, one that </w:t>
      </w:r>
      <w:proofErr w:type="spellStart"/>
      <w:r w:rsidR="005D13CF" w:rsidRPr="009C0656">
        <w:rPr>
          <w:rFonts w:cstheme="majorBidi"/>
          <w:szCs w:val="22"/>
        </w:rPr>
        <w:t>retroductively</w:t>
      </w:r>
      <w:proofErr w:type="spellEnd"/>
      <w:r w:rsidR="005D13CF" w:rsidRPr="009C0656">
        <w:rPr>
          <w:rFonts w:cstheme="majorBidi"/>
          <w:szCs w:val="22"/>
        </w:rPr>
        <w:t xml:space="preserve"> presupposes the same structural conditions of dislocation and constrained institutional alternatives established earlier in the chapter, now redirected toward securing durable and embodied commitment.</w:t>
      </w:r>
    </w:p>
    <w:p w14:paraId="1E3CC158" w14:textId="1ECC9190" w:rsidR="009F529A" w:rsidRPr="009C0656" w:rsidRDefault="009F529A" w:rsidP="009C0656">
      <w:pPr>
        <w:spacing w:line="360" w:lineRule="auto"/>
        <w:jc w:val="both"/>
      </w:pPr>
      <w:r w:rsidRPr="009C0656">
        <w:t xml:space="preserve">A foundational element of this process is the transformation of shame into grievance. Unemployment, welfare dependency, housing deterioration, and bodily illness experienced by Northern Black migrants could be interpreted as evidence of personal failure or racial inferiority </w:t>
      </w:r>
      <w:r w:rsidR="009B6E64" w:rsidRPr="009C0656">
        <w:t>in</w:t>
      </w:r>
      <w:r w:rsidRPr="009C0656">
        <w:t xml:space="preserve"> the dominant racial taxonomy, while the Black Church’s eschatological framework could render suffering meaningful through endurance. The NOI provided an alternative interpretation in which these conditions were produced through identifiable structures and agents and could therefore be confronted through deliberate action. </w:t>
      </w:r>
      <w:proofErr w:type="gramStart"/>
      <w:r w:rsidRPr="009C0656">
        <w:t>Its</w:t>
      </w:r>
      <w:proofErr w:type="gramEnd"/>
      <w:r w:rsidRPr="009C0656">
        <w:t xml:space="preserve"> motivational framing sought to make this interpretation sufficiently compelling that recognition of the condition generated an obligation to act.</w:t>
      </w:r>
    </w:p>
    <w:p w14:paraId="6CF2962F" w14:textId="48C26D0D" w:rsidR="00721523" w:rsidRPr="009C0656" w:rsidRDefault="000D59EA" w:rsidP="009C0656">
      <w:pPr>
        <w:spacing w:line="360" w:lineRule="auto"/>
        <w:jc w:val="both"/>
      </w:pPr>
      <w:r w:rsidRPr="009C0656">
        <w:t>The reframing of bodily and material experience provides an important example. Suffering already experienced before contact with the movement became evidence capable of confirming its claims. Fard</w:t>
      </w:r>
      <w:r w:rsidR="00F96490" w:rsidRPr="009C0656">
        <w:t xml:space="preserve"> Muhammad</w:t>
      </w:r>
      <w:r w:rsidRPr="009C0656">
        <w:t xml:space="preserve">’s dietary prescriptions offered a specific and testable remedy, while reported improvements provided experiential confirmation through direct bodily experience. The weight-loss reports in the </w:t>
      </w:r>
      <w:r w:rsidRPr="009C0656">
        <w:rPr>
          <w:i/>
          <w:iCs/>
        </w:rPr>
        <w:t>FCTI</w:t>
      </w:r>
      <w:r w:rsidRPr="009C0656">
        <w:t xml:space="preserve"> functioned as motivational testimony, presenting observable results associated with adherence to the movement’s teachings (Sharrieff, 1934a; 1934b). Members who experienced physical improvement after adopting the prescribed regimen therefore interpret</w:t>
      </w:r>
      <w:r w:rsidR="00052920" w:rsidRPr="009C0656">
        <w:t>ed</w:t>
      </w:r>
      <w:r w:rsidRPr="009C0656">
        <w:t xml:space="preserve"> action </w:t>
      </w:r>
      <w:r w:rsidR="009B6E64" w:rsidRPr="009C0656">
        <w:t>in</w:t>
      </w:r>
      <w:r w:rsidRPr="009C0656">
        <w:t xml:space="preserve"> the movement’s framework as producing immediate and personally verifiable rewards.</w:t>
      </w:r>
    </w:p>
    <w:p w14:paraId="73EDDEF1" w14:textId="1F7B077F" w:rsidR="005179E7" w:rsidRPr="009C0656" w:rsidRDefault="00CD1EA1" w:rsidP="009C0656">
      <w:pPr>
        <w:spacing w:line="360" w:lineRule="auto"/>
        <w:jc w:val="both"/>
        <w:rPr>
          <w:b/>
          <w:bCs/>
        </w:rPr>
      </w:pPr>
      <w:r w:rsidRPr="009C0656">
        <w:t>Beynon’s (1938) documentation of the shift from welfare dependency to full employment among Detroit converts by 1937 extends this logic into the collective and economic sphere. The NOI’s ascetic programme redirected household resources while</w:t>
      </w:r>
      <w:r w:rsidR="00DE3C7F" w:rsidRPr="009C0656">
        <w:t>, according to Beynon’s observations,</w:t>
      </w:r>
      <w:r w:rsidRPr="009C0656">
        <w:t xml:space="preserve"> altering members’ bodily presentation in ways that could produce effects within a racially discriminatory labour market. Employment was subsequently interpreted as evidence of divine confirmation, with obedience to Allah’s programme associated with material rewards that the surrounding social order had withheld. These outcomes reinforce</w:t>
      </w:r>
      <w:r w:rsidR="00052920" w:rsidRPr="009C0656">
        <w:t>d</w:t>
      </w:r>
      <w:r w:rsidRPr="009C0656">
        <w:t xml:space="preserve"> commitment among members while providing prospective recruits with observable evidence of the movement’s efficacy.</w:t>
      </w:r>
    </w:p>
    <w:p w14:paraId="3DE26958" w14:textId="52C2B782" w:rsidR="00E27BC2" w:rsidRPr="009C0656" w:rsidRDefault="00C82FAC" w:rsidP="009C0656">
      <w:pPr>
        <w:spacing w:line="360" w:lineRule="auto"/>
        <w:jc w:val="both"/>
      </w:pPr>
      <w:r w:rsidRPr="009C0656">
        <w:lastRenderedPageBreak/>
        <w:t>The movement also mobilised racial terror as an immediate incentive for action. Elijah</w:t>
      </w:r>
      <w:r w:rsidR="000B58E0" w:rsidRPr="009C0656">
        <w:t xml:space="preserve"> Muhammad</w:t>
      </w:r>
      <w:r w:rsidRPr="009C0656">
        <w:t>’s (1934a</w:t>
      </w:r>
      <w:r w:rsidR="00505B1A" w:rsidRPr="009C0656">
        <w:t>-</w:t>
      </w:r>
      <w:r w:rsidRPr="009C0656">
        <w:t xml:space="preserve">d) ‘Warning to the Black Man’ series documented lynchings, including the 1930 Sherman, Texas killing, using graphic detail both as evidence of the devil’s nature and as motivational material placed alongside calls for conversion. Because racial violence was presented as an ongoing threat, the movement positioned itself as the structure through which members could acquire protection and interpret the danger confronting them. </w:t>
      </w:r>
      <w:r w:rsidR="00E71D04" w:rsidRPr="009C0656">
        <w:t xml:space="preserve">The newspaper’s recurring warnings connected the immediacy of racial terror with the urgency of enrolment. Remaining outside the movement therefore entailed continued exposure to a racial order understood as inherently dangerous, while adherence offered membership within a broader Black </w:t>
      </w:r>
      <w:proofErr w:type="spellStart"/>
      <w:r w:rsidR="00E71D04" w:rsidRPr="009C0656">
        <w:t>collectivity</w:t>
      </w:r>
      <w:proofErr w:type="spellEnd"/>
      <w:r w:rsidR="00E71D04" w:rsidRPr="009C0656">
        <w:t xml:space="preserve"> and protection through Allah’s power. Fear was consequently</w:t>
      </w:r>
      <w:r w:rsidR="0065348C" w:rsidRPr="009C0656">
        <w:t xml:space="preserve"> framed as</w:t>
      </w:r>
      <w:r w:rsidR="00E71D04" w:rsidRPr="009C0656">
        <w:t xml:space="preserve"> redirected towards divine authority, with Elijah</w:t>
      </w:r>
      <w:r w:rsidR="000B58E0" w:rsidRPr="009C0656">
        <w:t xml:space="preserve"> Muhammad</w:t>
      </w:r>
      <w:r w:rsidR="00E71D04" w:rsidRPr="009C0656">
        <w:t xml:space="preserve">’s (1934a) instruction to fear Allah rather than the enemy illustrating the </w:t>
      </w:r>
      <w:r w:rsidR="0065348C" w:rsidRPr="009C0656">
        <w:t xml:space="preserve">movement’s attempt to </w:t>
      </w:r>
      <w:r w:rsidR="00E71D04" w:rsidRPr="009C0656">
        <w:t>conver</w:t>
      </w:r>
      <w:r w:rsidR="0065348C" w:rsidRPr="009C0656">
        <w:t xml:space="preserve">t </w:t>
      </w:r>
      <w:r w:rsidR="00E71D04" w:rsidRPr="009C0656">
        <w:t>fear into religious commitment and prescribed action.</w:t>
      </w:r>
      <w:r w:rsidRPr="009C0656">
        <w:t xml:space="preserve"> Sahib’s (1995 [1951], p. 9) observation that early converts frequently identified racial discrimination as a significant basis for their receptivity supports this connection between lived experience and motivational framing.</w:t>
      </w:r>
    </w:p>
    <w:p w14:paraId="3AA63B58" w14:textId="7F170092" w:rsidR="00846F54" w:rsidRPr="00B16E64" w:rsidRDefault="00372046" w:rsidP="00B16E64">
      <w:pPr>
        <w:spacing w:line="360" w:lineRule="auto"/>
        <w:jc w:val="both"/>
      </w:pPr>
      <w:r w:rsidRPr="009C0656">
        <w:t>Fard’s (1934</w:t>
      </w:r>
      <w:r w:rsidR="002F4E5B" w:rsidRPr="009C0656">
        <w:t>, Original Rules of Instruction, Rule 11</w:t>
      </w:r>
      <w:r w:rsidRPr="009C0656">
        <w:t>) instruction, ‘Do not do other than yourself,’ provides a further formulation of this logic. Action becomes an expression of authentic identity, with movement participation framed as alignment between conduct and the nature attributed to the Original Man. The call to act becomes simultaneously a call to recognise oneself and to embody that recognition through action, under conditions in which the movement presents the time for action as already having arrived.</w:t>
      </w:r>
    </w:p>
    <w:p w14:paraId="0529142F" w14:textId="488BEA3E" w:rsidR="00D75DEC" w:rsidRPr="009C0656" w:rsidRDefault="00D75DEC" w:rsidP="009C0656">
      <w:pPr>
        <w:pStyle w:val="TNRHeading3"/>
        <w:spacing w:line="360" w:lineRule="auto"/>
        <w:jc w:val="both"/>
        <w:rPr>
          <w:color w:val="auto"/>
        </w:rPr>
      </w:pPr>
      <w:r w:rsidRPr="009C0656">
        <w:rPr>
          <w:color w:val="auto"/>
        </w:rPr>
        <w:t>Apocalyptic Timeline</w:t>
      </w:r>
    </w:p>
    <w:p w14:paraId="29D01757" w14:textId="08E4D79D" w:rsidR="008A2AAA" w:rsidRPr="009C0656" w:rsidRDefault="008E7D55" w:rsidP="009C0656">
      <w:pPr>
        <w:spacing w:line="360" w:lineRule="auto"/>
        <w:jc w:val="both"/>
        <w:rPr>
          <w:rFonts w:cstheme="majorBidi"/>
          <w:szCs w:val="22"/>
        </w:rPr>
      </w:pPr>
      <w:r w:rsidRPr="009C0656">
        <w:rPr>
          <w:rFonts w:cstheme="majorBidi"/>
          <w:szCs w:val="22"/>
        </w:rPr>
        <w:t xml:space="preserve">A diagnostic frame that produces recognition of oppression without a </w:t>
      </w:r>
      <w:proofErr w:type="gramStart"/>
      <w:r w:rsidRPr="009C0656">
        <w:rPr>
          <w:rFonts w:cstheme="majorBidi"/>
          <w:szCs w:val="22"/>
        </w:rPr>
        <w:t>temporal imperative risks</w:t>
      </w:r>
      <w:proofErr w:type="gramEnd"/>
      <w:r w:rsidRPr="009C0656">
        <w:rPr>
          <w:rFonts w:cstheme="majorBidi"/>
          <w:szCs w:val="22"/>
        </w:rPr>
        <w:t xml:space="preserve"> generating despair or quietism among those who understand their condition yet perceive no actionable horizon. The NOI’s motivational framing addressed this problem by situating existing structural conditions </w:t>
      </w:r>
      <w:r w:rsidR="009B6E64" w:rsidRPr="009C0656">
        <w:rPr>
          <w:rFonts w:cstheme="majorBidi"/>
          <w:szCs w:val="22"/>
        </w:rPr>
        <w:t>in</w:t>
      </w:r>
      <w:r w:rsidRPr="009C0656">
        <w:rPr>
          <w:rFonts w:cstheme="majorBidi"/>
          <w:szCs w:val="22"/>
        </w:rPr>
        <w:t xml:space="preserve"> a prophetic and cosmological timeline that rendered the present moment uniquely urgent.</w:t>
      </w:r>
    </w:p>
    <w:p w14:paraId="40D16496" w14:textId="3ED29E6E" w:rsidR="00DF609F" w:rsidRPr="009C0656" w:rsidRDefault="00DF609F" w:rsidP="009C0656">
      <w:pPr>
        <w:spacing w:line="360" w:lineRule="auto"/>
        <w:jc w:val="both"/>
        <w:rPr>
          <w:rFonts w:cstheme="majorBidi"/>
          <w:szCs w:val="22"/>
        </w:rPr>
      </w:pPr>
      <w:r w:rsidRPr="009C0656">
        <w:rPr>
          <w:rFonts w:cstheme="majorBidi"/>
          <w:szCs w:val="22"/>
        </w:rPr>
        <w:t xml:space="preserve">This urgency arose from the persistence of racial subjugation alongside the absence of any visible horizon of amelioration through existing political channels. By the early 1930s, neither the legal strategies of the NAACP, the accommodationist politics of established Black civic institutions, nor the residual nationalist energies of the post-Garvey landscape had produced major structural changes in the conditions confronting Northern Black migrants. The Depression had deepened their material precarity, while established institutions had demonstrated limited capacity to alter it. The absence of an imaginable temporal horizon formed part of the condition the motivational frame addressed. The apocalyptic timeline supplied a determinate horizon, placing the movement’s constituency </w:t>
      </w:r>
      <w:r w:rsidR="009B6E64" w:rsidRPr="009C0656">
        <w:rPr>
          <w:rFonts w:cstheme="majorBidi"/>
          <w:szCs w:val="22"/>
        </w:rPr>
        <w:t>in</w:t>
      </w:r>
      <w:r w:rsidRPr="009C0656">
        <w:rPr>
          <w:rFonts w:cstheme="majorBidi"/>
          <w:szCs w:val="22"/>
        </w:rPr>
        <w:t xml:space="preserve"> a cosmological schedule whose terms were already fixed and whose window for action was closing.</w:t>
      </w:r>
    </w:p>
    <w:p w14:paraId="679D63B7" w14:textId="2523EEF5" w:rsidR="008A2AAA" w:rsidRPr="009C0656" w:rsidRDefault="0016218E" w:rsidP="009C0656">
      <w:pPr>
        <w:spacing w:line="360" w:lineRule="auto"/>
        <w:jc w:val="both"/>
        <w:rPr>
          <w:rFonts w:cstheme="majorBidi"/>
          <w:szCs w:val="22"/>
        </w:rPr>
      </w:pPr>
      <w:r w:rsidRPr="009C0656">
        <w:rPr>
          <w:rFonts w:cstheme="majorBidi"/>
          <w:szCs w:val="22"/>
        </w:rPr>
        <w:lastRenderedPageBreak/>
        <w:t xml:space="preserve">An early teaching from Elijah </w:t>
      </w:r>
      <w:r w:rsidR="000B58E0" w:rsidRPr="009C0656">
        <w:t xml:space="preserve">Muhammad </w:t>
      </w:r>
      <w:r w:rsidRPr="009C0656">
        <w:rPr>
          <w:rFonts w:cstheme="majorBidi"/>
          <w:szCs w:val="22"/>
        </w:rPr>
        <w:t>states that ‘the white man’s rule of the world actually ended in 1914, and that Allah is preparing to wipe out this ‘spook civilization’ which has been existing on borrowed time’, corresponding with Fard’s (1934</w:t>
      </w:r>
      <w:r w:rsidR="008500FC" w:rsidRPr="009C0656">
        <w:rPr>
          <w:rFonts w:cstheme="majorBidi"/>
          <w:szCs w:val="22"/>
        </w:rPr>
        <w:t>, Lost-Found Muslim Lesson No. 2, Question 35</w:t>
      </w:r>
      <w:r w:rsidRPr="009C0656">
        <w:rPr>
          <w:rFonts w:cstheme="majorBidi"/>
          <w:szCs w:val="22"/>
        </w:rPr>
        <w:t xml:space="preserve">) teaching on the same point (Bontemps and Conroy, 1945, p. 183). The precision of the 1914 date is rhetorically significant. White rule is presented as having already ended, while its institutions continue to operate as the residual authority of a civilisation whose legitimacy has expired. Continuing racial domination </w:t>
      </w:r>
      <w:r w:rsidR="00426CA3" w:rsidRPr="009C0656">
        <w:rPr>
          <w:rFonts w:cstheme="majorBidi"/>
          <w:szCs w:val="22"/>
        </w:rPr>
        <w:t xml:space="preserve">is </w:t>
      </w:r>
      <w:r w:rsidRPr="009C0656">
        <w:rPr>
          <w:rFonts w:cstheme="majorBidi"/>
          <w:szCs w:val="22"/>
        </w:rPr>
        <w:t>the final operation of an already condemned order. The destruction of the devil’s civilisation becomes an unfolding certainty rather than a distant possibility, while the member’s immediate task is to align with the righteous side of a cosmic reordering already underway.</w:t>
      </w:r>
    </w:p>
    <w:p w14:paraId="6EC9F1B8" w14:textId="628D3A3E" w:rsidR="00DE35AB" w:rsidRPr="009C0656" w:rsidRDefault="00DE35AB" w:rsidP="009C0656">
      <w:pPr>
        <w:spacing w:line="360" w:lineRule="auto"/>
        <w:jc w:val="both"/>
        <w:rPr>
          <w:rFonts w:cstheme="majorBidi"/>
          <w:szCs w:val="22"/>
        </w:rPr>
      </w:pPr>
      <w:r w:rsidRPr="009C0656">
        <w:rPr>
          <w:rFonts w:cstheme="majorBidi"/>
          <w:szCs w:val="22"/>
        </w:rPr>
        <w:t xml:space="preserve">The 1914 date also carries historical and theological significance </w:t>
      </w:r>
      <w:r w:rsidR="009B6E64" w:rsidRPr="009C0656">
        <w:rPr>
          <w:rFonts w:cstheme="majorBidi"/>
          <w:szCs w:val="22"/>
        </w:rPr>
        <w:t>in</w:t>
      </w:r>
      <w:r w:rsidRPr="009C0656">
        <w:rPr>
          <w:rFonts w:cstheme="majorBidi"/>
          <w:szCs w:val="22"/>
        </w:rPr>
        <w:t xml:space="preserve"> the movement’s cosmology. It marks the end of the six-thousand-year period of white rule associated with Ya</w:t>
      </w:r>
      <w:r w:rsidR="00486091" w:rsidRPr="009C0656">
        <w:rPr>
          <w:rFonts w:cstheme="majorBidi"/>
          <w:szCs w:val="22"/>
        </w:rPr>
        <w:t>c</w:t>
      </w:r>
      <w:r w:rsidRPr="009C0656">
        <w:rPr>
          <w:rFonts w:cstheme="majorBidi"/>
          <w:szCs w:val="22"/>
        </w:rPr>
        <w:t xml:space="preserve">ub’s grafting, transforming Western history into a finite episode within a divinely ordered chronology. The outbreak of the First World War in 1914 provided an event that could be interpreted as empirical confirmation of the predicted rupture (Muhammad, 2009 [1965], p. 289). White supremacy was thereby situated </w:t>
      </w:r>
      <w:r w:rsidR="009B6E64" w:rsidRPr="009C0656">
        <w:rPr>
          <w:rFonts w:cstheme="majorBidi"/>
          <w:szCs w:val="22"/>
        </w:rPr>
        <w:t>in</w:t>
      </w:r>
      <w:r w:rsidRPr="009C0656">
        <w:rPr>
          <w:rFonts w:cstheme="majorBidi"/>
          <w:szCs w:val="22"/>
        </w:rPr>
        <w:t xml:space="preserve"> a temporal sequence that established both its historical contingency and its appointed end. Its continued existence represented a period of delay before an inevitable transformation.</w:t>
      </w:r>
    </w:p>
    <w:p w14:paraId="614EB057" w14:textId="681718BA" w:rsidR="008A2AAA" w:rsidRPr="009C0656" w:rsidRDefault="00DD15EF" w:rsidP="009C0656">
      <w:pPr>
        <w:spacing w:line="360" w:lineRule="auto"/>
        <w:jc w:val="both"/>
        <w:rPr>
          <w:rFonts w:cstheme="majorBidi"/>
          <w:szCs w:val="22"/>
        </w:rPr>
      </w:pPr>
      <w:r w:rsidRPr="009C0656">
        <w:rPr>
          <w:rFonts w:cstheme="majorBidi"/>
          <w:szCs w:val="22"/>
        </w:rPr>
        <w:t>Fard (1934</w:t>
      </w:r>
      <w:r w:rsidR="00FA5299" w:rsidRPr="009C0656">
        <w:rPr>
          <w:rFonts w:cstheme="majorBidi"/>
          <w:szCs w:val="22"/>
        </w:rPr>
        <w:t>, Original Rules of Instruction, Rule 13</w:t>
      </w:r>
      <w:r w:rsidRPr="009C0656">
        <w:rPr>
          <w:rFonts w:cstheme="majorBidi"/>
          <w:szCs w:val="22"/>
        </w:rPr>
        <w:t xml:space="preserve">) condenses this temporal imperative in the exhortation: ‘Arise the Dead by the thousands! The dead Nation must arise — for the Time is at hand. Look in your Poison Book. Work cheerfully and fear not.’ The statement activates the 5%’s pedagogical obligation by turning recruitment into a response to the approaching deadline. The ‘dead Nation’, previously established as a description of the 85%’s enforced ignorance and spiritual condition, becomes the object of urgent action. ‘Look in your Poison Book’, referring to the Bible, directs members towards scriptural evidence understood to confirm the movement’s interpretation of the present moment. The closing affirmation, ‘You are the Righteous, the Best and the Powerful’, positions the intended actors </w:t>
      </w:r>
      <w:r w:rsidR="009B6E64" w:rsidRPr="009C0656">
        <w:rPr>
          <w:rFonts w:cstheme="majorBidi"/>
          <w:szCs w:val="22"/>
        </w:rPr>
        <w:t>in</w:t>
      </w:r>
      <w:r w:rsidRPr="009C0656">
        <w:rPr>
          <w:rFonts w:cstheme="majorBidi"/>
          <w:szCs w:val="22"/>
        </w:rPr>
        <w:t xml:space="preserve"> the victorious side of the cosmic conflict (ibid.</w:t>
      </w:r>
      <w:r w:rsidR="00574302" w:rsidRPr="009C0656">
        <w:rPr>
          <w:rFonts w:cstheme="majorBidi"/>
          <w:szCs w:val="22"/>
        </w:rPr>
        <w:t>, Original Rules of Instruction, Rule 13</w:t>
      </w:r>
      <w:r w:rsidRPr="009C0656">
        <w:rPr>
          <w:rFonts w:cstheme="majorBidi"/>
          <w:szCs w:val="22"/>
        </w:rPr>
        <w:t>), combining urgency with confidence in an assured outcome.</w:t>
      </w:r>
    </w:p>
    <w:p w14:paraId="1DF1BFEB" w14:textId="41304181" w:rsidR="008A2AAA" w:rsidRPr="009C0656" w:rsidRDefault="00855194" w:rsidP="009C0656">
      <w:pPr>
        <w:spacing w:line="360" w:lineRule="auto"/>
        <w:jc w:val="both"/>
        <w:rPr>
          <w:rFonts w:cstheme="majorBidi"/>
          <w:szCs w:val="22"/>
        </w:rPr>
      </w:pPr>
      <w:r w:rsidRPr="009C0656">
        <w:rPr>
          <w:rFonts w:cstheme="majorBidi"/>
          <w:szCs w:val="22"/>
        </w:rPr>
        <w:t>Elijah</w:t>
      </w:r>
      <w:r w:rsidR="000B58E0" w:rsidRPr="009C0656">
        <w:rPr>
          <w:rFonts w:cstheme="majorBidi"/>
          <w:szCs w:val="22"/>
        </w:rPr>
        <w:t xml:space="preserve"> </w:t>
      </w:r>
      <w:r w:rsidRPr="009C0656">
        <w:rPr>
          <w:rFonts w:cstheme="majorBidi"/>
          <w:szCs w:val="22"/>
        </w:rPr>
        <w:t xml:space="preserve">(1934a) </w:t>
      </w:r>
      <w:r w:rsidR="008A2AAA" w:rsidRPr="009C0656">
        <w:rPr>
          <w:rFonts w:cstheme="majorBidi"/>
          <w:szCs w:val="22"/>
        </w:rPr>
        <w:t xml:space="preserve">translates the apocalyptic timeline into </w:t>
      </w:r>
      <w:r w:rsidR="00055A55" w:rsidRPr="009C0656">
        <w:rPr>
          <w:rFonts w:cstheme="majorBidi"/>
          <w:szCs w:val="22"/>
        </w:rPr>
        <w:t xml:space="preserve">a motivational frame with </w:t>
      </w:r>
      <w:r w:rsidR="008A2AAA" w:rsidRPr="009C0656">
        <w:rPr>
          <w:rFonts w:cstheme="majorBidi"/>
          <w:szCs w:val="22"/>
        </w:rPr>
        <w:t>escalated deterrence</w:t>
      </w:r>
      <w:r w:rsidRPr="009C0656">
        <w:rPr>
          <w:rFonts w:cstheme="majorBidi"/>
          <w:szCs w:val="22"/>
        </w:rPr>
        <w:t>, declaring</w:t>
      </w:r>
      <w:r w:rsidR="008A2AAA" w:rsidRPr="009C0656">
        <w:rPr>
          <w:rFonts w:cstheme="majorBidi"/>
          <w:szCs w:val="22"/>
        </w:rPr>
        <w:t xml:space="preserve"> </w:t>
      </w:r>
      <w:r w:rsidR="006C1B80" w:rsidRPr="009C0656">
        <w:rPr>
          <w:rFonts w:cstheme="majorBidi"/>
          <w:szCs w:val="22"/>
        </w:rPr>
        <w:t>‘</w:t>
      </w:r>
      <w:r w:rsidR="008A2AAA" w:rsidRPr="009C0656">
        <w:rPr>
          <w:rFonts w:cstheme="majorBidi"/>
          <w:szCs w:val="22"/>
        </w:rPr>
        <w:t>HE, that reads this little Weekly Paper shall be made wise, but he who denies it and what it says is foolish and will</w:t>
      </w:r>
      <w:r w:rsidR="00565507" w:rsidRPr="009C0656">
        <w:rPr>
          <w:rFonts w:cstheme="majorBidi"/>
          <w:szCs w:val="22"/>
        </w:rPr>
        <w:t xml:space="preserve"> </w:t>
      </w:r>
      <w:r w:rsidR="008A2AAA" w:rsidRPr="009C0656">
        <w:rPr>
          <w:rFonts w:cstheme="majorBidi"/>
          <w:szCs w:val="22"/>
        </w:rPr>
        <w:t>DIE IN HIS SINS!</w:t>
      </w:r>
      <w:r w:rsidR="006C1B80" w:rsidRPr="009C0656">
        <w:rPr>
          <w:rFonts w:cstheme="majorBidi"/>
          <w:szCs w:val="22"/>
        </w:rPr>
        <w:t>’</w:t>
      </w:r>
      <w:r w:rsidR="008A2AAA" w:rsidRPr="009C0656">
        <w:rPr>
          <w:rFonts w:cstheme="majorBidi"/>
          <w:szCs w:val="22"/>
        </w:rPr>
        <w:t xml:space="preserve"> The binary outcome </w:t>
      </w:r>
      <w:r w:rsidR="00874C35" w:rsidRPr="009C0656">
        <w:rPr>
          <w:rFonts w:cstheme="majorBidi"/>
          <w:szCs w:val="22"/>
        </w:rPr>
        <w:t xml:space="preserve">sets </w:t>
      </w:r>
      <w:r w:rsidR="008A2AAA" w:rsidRPr="009C0656">
        <w:rPr>
          <w:rFonts w:cstheme="majorBidi"/>
          <w:szCs w:val="22"/>
        </w:rPr>
        <w:t>a personal stakes calculation for every reader</w:t>
      </w:r>
      <w:r w:rsidR="00F40F7C" w:rsidRPr="009C0656">
        <w:rPr>
          <w:rFonts w:cstheme="majorBidi"/>
          <w:szCs w:val="22"/>
        </w:rPr>
        <w:t>;</w:t>
      </w:r>
      <w:r w:rsidR="00874C35" w:rsidRPr="009C0656">
        <w:rPr>
          <w:rFonts w:cstheme="majorBidi"/>
          <w:szCs w:val="22"/>
        </w:rPr>
        <w:t xml:space="preserve"> wisdom for those who align and destruction for those who deny</w:t>
      </w:r>
      <w:r w:rsidR="008A2AAA" w:rsidRPr="009C0656">
        <w:rPr>
          <w:rFonts w:cstheme="majorBidi"/>
          <w:szCs w:val="22"/>
        </w:rPr>
        <w:t>. The newspaper</w:t>
      </w:r>
      <w:r w:rsidR="00874C35" w:rsidRPr="009C0656">
        <w:rPr>
          <w:rFonts w:cstheme="majorBidi"/>
          <w:szCs w:val="22"/>
        </w:rPr>
        <w:t>, though in its format informational,</w:t>
      </w:r>
      <w:r w:rsidR="008A2AAA" w:rsidRPr="009C0656">
        <w:rPr>
          <w:rFonts w:cstheme="majorBidi"/>
          <w:szCs w:val="22"/>
        </w:rPr>
        <w:t xml:space="preserve"> is </w:t>
      </w:r>
      <w:r w:rsidR="00495197" w:rsidRPr="009C0656">
        <w:rPr>
          <w:rFonts w:cstheme="majorBidi"/>
          <w:szCs w:val="22"/>
        </w:rPr>
        <w:t xml:space="preserve">notably </w:t>
      </w:r>
      <w:r w:rsidR="008A2AAA" w:rsidRPr="009C0656">
        <w:rPr>
          <w:rFonts w:cstheme="majorBidi"/>
          <w:szCs w:val="22"/>
        </w:rPr>
        <w:t>decisional</w:t>
      </w:r>
      <w:r w:rsidR="000A6A3C" w:rsidRPr="009C0656">
        <w:rPr>
          <w:rFonts w:cstheme="majorBidi"/>
          <w:szCs w:val="22"/>
        </w:rPr>
        <w:t xml:space="preserve"> </w:t>
      </w:r>
      <w:r w:rsidR="00495197" w:rsidRPr="009C0656">
        <w:rPr>
          <w:rFonts w:cstheme="majorBidi"/>
          <w:szCs w:val="22"/>
        </w:rPr>
        <w:t xml:space="preserve">in the sense that upon </w:t>
      </w:r>
      <w:r w:rsidR="008A2AAA" w:rsidRPr="009C0656">
        <w:rPr>
          <w:rFonts w:cstheme="majorBidi"/>
          <w:szCs w:val="22"/>
        </w:rPr>
        <w:t xml:space="preserve">encountering it is a moment of choice whose consequences extend to the cosmic level. </w:t>
      </w:r>
      <w:r w:rsidR="0016110D" w:rsidRPr="009C0656">
        <w:rPr>
          <w:rFonts w:cstheme="majorBidi"/>
          <w:szCs w:val="22"/>
        </w:rPr>
        <w:t>This intensification of the warning gives the broader claim about the end of white rule a more immediate personal significance, directing the reader towards a specific response to the conditions described.</w:t>
      </w:r>
    </w:p>
    <w:p w14:paraId="451DA1F2" w14:textId="314313B2" w:rsidR="00C47E9B" w:rsidRPr="009C0656" w:rsidRDefault="008A2AAA" w:rsidP="009C0656">
      <w:pPr>
        <w:spacing w:line="360" w:lineRule="auto"/>
        <w:jc w:val="both"/>
        <w:rPr>
          <w:rFonts w:cstheme="majorBidi"/>
          <w:szCs w:val="22"/>
        </w:rPr>
      </w:pPr>
      <w:r w:rsidRPr="009C0656">
        <w:rPr>
          <w:rFonts w:cstheme="majorBidi"/>
          <w:szCs w:val="22"/>
        </w:rPr>
        <w:lastRenderedPageBreak/>
        <w:t xml:space="preserve">The structural function of the apocalyptic timeline </w:t>
      </w:r>
      <w:r w:rsidR="009B6E64" w:rsidRPr="009C0656">
        <w:rPr>
          <w:rFonts w:cstheme="majorBidi"/>
          <w:szCs w:val="22"/>
        </w:rPr>
        <w:t>in</w:t>
      </w:r>
      <w:r w:rsidRPr="009C0656">
        <w:rPr>
          <w:rFonts w:cstheme="majorBidi"/>
          <w:szCs w:val="22"/>
        </w:rPr>
        <w:t xml:space="preserve"> the broader motivational architecture is to eliminate the possibility of deferral. The diagnostic frame had established the nature and depth of the injury; the prognostic frame had established what the solution required;</w:t>
      </w:r>
      <w:r w:rsidR="00C65640" w:rsidRPr="009C0656">
        <w:rPr>
          <w:rFonts w:cstheme="majorBidi"/>
          <w:szCs w:val="22"/>
        </w:rPr>
        <w:t xml:space="preserve"> and</w:t>
      </w:r>
      <w:r w:rsidRPr="009C0656">
        <w:rPr>
          <w:rFonts w:cstheme="majorBidi"/>
          <w:szCs w:val="22"/>
        </w:rPr>
        <w:t xml:space="preserve"> the motivational frame closes the gap between recognition and action by removing the option of indefinite delay. The time is at hand; the civilisation is on borrowed time; those who die in their sins will have had their opportunity and refused it</w:t>
      </w:r>
      <w:r w:rsidR="00C65640" w:rsidRPr="009C0656">
        <w:rPr>
          <w:rFonts w:cstheme="majorBidi"/>
          <w:szCs w:val="22"/>
        </w:rPr>
        <w:t>.</w:t>
      </w:r>
    </w:p>
    <w:p w14:paraId="7DDCF0CF" w14:textId="3E04134E" w:rsidR="000F06AA" w:rsidRPr="009C0656" w:rsidRDefault="000F06AA" w:rsidP="009C0656">
      <w:pPr>
        <w:pStyle w:val="TNRHeading3"/>
        <w:spacing w:line="360" w:lineRule="auto"/>
        <w:jc w:val="both"/>
        <w:rPr>
          <w:color w:val="auto"/>
        </w:rPr>
      </w:pPr>
      <w:r w:rsidRPr="009C0656">
        <w:rPr>
          <w:color w:val="auto"/>
        </w:rPr>
        <w:t>Incentivised Mobilisation</w:t>
      </w:r>
    </w:p>
    <w:p w14:paraId="4E1BD24D" w14:textId="0BCD0E27" w:rsidR="00566B94" w:rsidRPr="009C0656" w:rsidRDefault="004B670C" w:rsidP="009C0656">
      <w:pPr>
        <w:spacing w:line="360" w:lineRule="auto"/>
        <w:jc w:val="both"/>
      </w:pPr>
      <w:r w:rsidRPr="009C0656">
        <w:t>Incentivised mobilisation operates through distinct registers of reward, each addressing a different order of motivation. The most tangible is the button reward system. Fard’s (1934</w:t>
      </w:r>
      <w:r w:rsidR="00D64109" w:rsidRPr="009C0656">
        <w:t>, Lost-Found Muslim Lesson No. 1, Question 10</w:t>
      </w:r>
      <w:r w:rsidRPr="009C0656">
        <w:t>) instruction is exact: ‘each Muslim is required to bring four devils. And by bringing and presenting four at one time, his Reward is a button to wear on the lapel of his coat.’ Recruitment is assigned a defined threshold and rewarded with a visible material token. The button transforms missionary labour into a doctrinal obligation with a measurable outcome, allowing members to track and display their progress.</w:t>
      </w:r>
    </w:p>
    <w:p w14:paraId="1C26270D" w14:textId="60A12CAF" w:rsidR="00566B94" w:rsidRPr="009C0656" w:rsidRDefault="009B43D1" w:rsidP="009C0656">
      <w:pPr>
        <w:spacing w:line="360" w:lineRule="auto"/>
        <w:jc w:val="both"/>
      </w:pPr>
      <w:r w:rsidRPr="009C0656">
        <w:t xml:space="preserve">Cosmic status provides a more immediate form of reward. Racial reversal functions motivationally through the elevation of status embedded within the reconstructed identity. Members are taught that they are the original people of the earth, </w:t>
      </w:r>
      <w:r w:rsidR="00F1486A" w:rsidRPr="009C0656">
        <w:t>positioning</w:t>
      </w:r>
      <w:r w:rsidRPr="009C0656">
        <w:t xml:space="preserve"> mobilisation itself </w:t>
      </w:r>
      <w:r w:rsidR="00F1486A" w:rsidRPr="009C0656">
        <w:t xml:space="preserve">as </w:t>
      </w:r>
      <w:r w:rsidRPr="009C0656">
        <w:t xml:space="preserve">an affirmation of divine standing. </w:t>
      </w:r>
      <w:proofErr w:type="spellStart"/>
      <w:r w:rsidRPr="009C0656">
        <w:t>Kallatt</w:t>
      </w:r>
      <w:proofErr w:type="spellEnd"/>
      <w:r w:rsidRPr="009C0656">
        <w:t xml:space="preserve"> M</w:t>
      </w:r>
      <w:r w:rsidR="002E488F">
        <w:t>o</w:t>
      </w:r>
      <w:r w:rsidRPr="009C0656">
        <w:t>hamm</w:t>
      </w:r>
      <w:r w:rsidR="00360555">
        <w:t>e</w:t>
      </w:r>
      <w:r w:rsidRPr="009C0656">
        <w:t xml:space="preserve">d’s (1934) column in the </w:t>
      </w:r>
      <w:r w:rsidRPr="009C0656">
        <w:rPr>
          <w:i/>
          <w:iCs/>
        </w:rPr>
        <w:t>FCTI</w:t>
      </w:r>
      <w:r w:rsidRPr="009C0656">
        <w:t xml:space="preserve"> declares that ‘Black is the GODS and POWER in the world today’, presenting divine authority as a present possession secured through acceptance of the teaching. Beynon (1938, p. 897) records the uptake of this incentive among Detroit converts, who described themselves as ‘superior, rather than inferior, to other people.’ The statement demonstrates how the status elevation encoded in the frame could extend beyond doctrinal affirmation into members’ self-understanding.</w:t>
      </w:r>
    </w:p>
    <w:p w14:paraId="097CE401" w14:textId="2450EECE" w:rsidR="00715C0E" w:rsidRPr="009C0656" w:rsidRDefault="00D26621" w:rsidP="009C0656">
      <w:pPr>
        <w:spacing w:line="360" w:lineRule="auto"/>
        <w:jc w:val="both"/>
      </w:pPr>
      <w:r w:rsidRPr="009C0656">
        <w:t xml:space="preserve">Status elevation is further connected to the movement’s account of the eventual fate of the grafted race, whose rule is assigned a fixed duration within its cosmology. Membership in the Original Nation carries the promise of security in relation to the destruction predicted for those who remain outside it. Changes in behaviour </w:t>
      </w:r>
      <w:r w:rsidR="00F1486A" w:rsidRPr="009C0656">
        <w:t xml:space="preserve">could </w:t>
      </w:r>
      <w:r w:rsidRPr="009C0656">
        <w:t xml:space="preserve">reflect this altered status. Elijah </w:t>
      </w:r>
      <w:r w:rsidR="000B58E0" w:rsidRPr="009C0656">
        <w:t xml:space="preserve">Muhammad </w:t>
      </w:r>
      <w:r w:rsidRPr="009C0656">
        <w:t xml:space="preserve">(1934d), for example, addresses Christian clergy as ‘hypocrites’ with confidence, while Beynon (1938, p. 899) records </w:t>
      </w:r>
      <w:proofErr w:type="gramStart"/>
      <w:r w:rsidRPr="009C0656">
        <w:t>converts</w:t>
      </w:r>
      <w:proofErr w:type="gramEnd"/>
      <w:r w:rsidRPr="009C0656">
        <w:t xml:space="preserve"> describing a new willingness to reject conventional deference towards whites. </w:t>
      </w:r>
      <w:r w:rsidR="00F1486A" w:rsidRPr="009C0656">
        <w:t>Where evidenced, s</w:t>
      </w:r>
      <w:r w:rsidRPr="009C0656">
        <w:t xml:space="preserve">uch conduct </w:t>
      </w:r>
      <w:r w:rsidR="00F1486A" w:rsidRPr="009C0656">
        <w:t xml:space="preserve">could </w:t>
      </w:r>
      <w:r w:rsidR="009B6E64" w:rsidRPr="009C0656">
        <w:t>function</w:t>
      </w:r>
      <w:r w:rsidR="00F1486A" w:rsidRPr="009C0656">
        <w:t xml:space="preserve"> </w:t>
      </w:r>
      <w:r w:rsidR="009B6E64" w:rsidRPr="009C0656">
        <w:t xml:space="preserve">as </w:t>
      </w:r>
      <w:r w:rsidRPr="009C0656">
        <w:t>an expression of the status promised by the frame and as evidence that the new identity was being incorporated into everyday practice. Unlike the button incentive, this reward does not depend upon completing a cumulative task; it is conferred through membership and enacted through conduct.</w:t>
      </w:r>
    </w:p>
    <w:p w14:paraId="0DB287B2" w14:textId="0A2F0590" w:rsidR="00566B94" w:rsidRPr="009C0656" w:rsidRDefault="00067126" w:rsidP="009C0656">
      <w:pPr>
        <w:spacing w:line="360" w:lineRule="auto"/>
        <w:jc w:val="both"/>
      </w:pPr>
      <w:r w:rsidRPr="009C0656">
        <w:lastRenderedPageBreak/>
        <w:t xml:space="preserve">A further reward structure is deferred and hierarchical, linking obedience to anticipated fulfilment. Organisational discipline required members to submit to an authority whose demands could involve patience, secrecy, and personal sacrifice. Fard’s (1933a) assurance to Elijah </w:t>
      </w:r>
      <w:r w:rsidR="000B58E0" w:rsidRPr="009C0656">
        <w:t xml:space="preserve">Muhammad </w:t>
      </w:r>
      <w:r w:rsidRPr="009C0656">
        <w:t xml:space="preserve">that ‘your happiness is awaiting you’ frames compliance as an investment in an anticipated outcome. The reward is presented as certain yet deferred, giving discipline its motivational force. </w:t>
      </w:r>
      <w:r w:rsidR="00566B94" w:rsidRPr="009C0656">
        <w:t>Compliance is the price of an outcome the member is told is already secured.</w:t>
      </w:r>
    </w:p>
    <w:p w14:paraId="150C648D" w14:textId="73BB3883" w:rsidR="00566B94" w:rsidRPr="009C0656" w:rsidRDefault="00566B94" w:rsidP="009C0656">
      <w:pPr>
        <w:spacing w:line="360" w:lineRule="auto"/>
        <w:jc w:val="both"/>
      </w:pPr>
      <w:r w:rsidRPr="009C0656">
        <w:t>The same correspondence promises material and status elevation, assuring Elijah that fidelity to instruction</w:t>
      </w:r>
      <w:r w:rsidR="000D69F7" w:rsidRPr="009C0656">
        <w:t xml:space="preserve"> results in immense wealth</w:t>
      </w:r>
      <w:r w:rsidRPr="009C0656">
        <w:t xml:space="preserve"> (</w:t>
      </w:r>
      <w:r w:rsidR="000D69F7" w:rsidRPr="009C0656">
        <w:t>ibid.</w:t>
      </w:r>
      <w:r w:rsidRPr="009C0656">
        <w:t xml:space="preserve">). The reward is framed in terms directly answerable to the deprivation established elsewhere. </w:t>
      </w:r>
      <w:r w:rsidR="000D69F7" w:rsidRPr="009C0656">
        <w:t xml:space="preserve">With </w:t>
      </w:r>
      <w:r w:rsidRPr="009C0656">
        <w:t>material destitution as evidence of the devil</w:t>
      </w:r>
      <w:r w:rsidR="006C1B80" w:rsidRPr="009C0656">
        <w:t>’</w:t>
      </w:r>
      <w:r w:rsidRPr="009C0656">
        <w:t xml:space="preserve">s civilisation, the motivational frame here promises that obedience </w:t>
      </w:r>
      <w:r w:rsidR="00194065" w:rsidRPr="009C0656">
        <w:t>in</w:t>
      </w:r>
      <w:r w:rsidRPr="009C0656">
        <w:t xml:space="preserve"> the movement</w:t>
      </w:r>
      <w:r w:rsidR="006C1B80" w:rsidRPr="009C0656">
        <w:t>’</w:t>
      </w:r>
      <w:r w:rsidRPr="009C0656">
        <w:t xml:space="preserve">s own hierarchy is the mechanism by which that same deprivation is reversed. It is through this discipline and obedience that Fard asserts one can achieve individual restoration. These are the means through which members receive what the movement defines as their rightful inheritance, including restored knowledge and a recovered sense of identity. Law operated alongside the promise of renewal and discipline in accordance </w:t>
      </w:r>
      <w:proofErr w:type="gramStart"/>
      <w:r w:rsidRPr="009C0656">
        <w:t>to</w:t>
      </w:r>
      <w:proofErr w:type="gramEnd"/>
      <w:r w:rsidRPr="009C0656">
        <w:t xml:space="preserve"> this system of law provides the pathway through which individuals can reclaim what is understood to have been removed through the conditions of oppression represented by the devil</w:t>
      </w:r>
      <w:r w:rsidR="006C1B80" w:rsidRPr="009C0656">
        <w:t>’</w:t>
      </w:r>
      <w:r w:rsidRPr="009C0656">
        <w:t>s civilisation.</w:t>
      </w:r>
    </w:p>
    <w:p w14:paraId="7251A457" w14:textId="0C10989B" w:rsidR="0024452F" w:rsidRPr="009C0656" w:rsidRDefault="00566B94" w:rsidP="009C0656">
      <w:pPr>
        <w:spacing w:line="360" w:lineRule="auto"/>
        <w:jc w:val="both"/>
      </w:pPr>
      <w:r w:rsidRPr="009C0656">
        <w:t>The instructions themselves are framed as tests of loyalty whose passing is itself meaningful. Fard</w:t>
      </w:r>
      <w:r w:rsidR="006C1B80" w:rsidRPr="009C0656">
        <w:t>’</w:t>
      </w:r>
      <w:r w:rsidRPr="009C0656">
        <w:t>s (</w:t>
      </w:r>
      <w:r w:rsidR="00871435" w:rsidRPr="009C0656">
        <w:t>1933b</w:t>
      </w:r>
      <w:r w:rsidRPr="009C0656">
        <w:t>) directions to Elijah</w:t>
      </w:r>
      <w:r w:rsidR="000B58E0" w:rsidRPr="009C0656">
        <w:t xml:space="preserve"> </w:t>
      </w:r>
      <w:r w:rsidRPr="009C0656">
        <w:t xml:space="preserve">on covert movement between Chicago and Milwaukee, and his insistence that he tell </w:t>
      </w:r>
      <w:proofErr w:type="gramStart"/>
      <w:r w:rsidRPr="009C0656">
        <w:t>no one</w:t>
      </w:r>
      <w:proofErr w:type="gramEnd"/>
      <w:r w:rsidRPr="009C0656">
        <w:t xml:space="preserve"> his destination beyond a single named intermediary are almost like trials through which trust is accumulated. Secrecy maintained is evidence offered with each instruction correctly followed becoming a credential toward the future authority the letters promise. </w:t>
      </w:r>
      <w:r w:rsidR="00852804" w:rsidRPr="009C0656">
        <w:t>T</w:t>
      </w:r>
      <w:r w:rsidRPr="009C0656">
        <w:t>he incentive structure asks the follower to accept present hardship and invisibility as the necessary precondition of a reward whose timing is deliberately left to the leader</w:t>
      </w:r>
      <w:r w:rsidR="006C1B80" w:rsidRPr="009C0656">
        <w:t>’</w:t>
      </w:r>
      <w:r w:rsidRPr="009C0656">
        <w:t>s own judgement.</w:t>
      </w:r>
    </w:p>
    <w:p w14:paraId="48E0C86C" w14:textId="015D8FC6" w:rsidR="00BC3726" w:rsidRPr="009C0656" w:rsidRDefault="000B3F5C" w:rsidP="009C0656">
      <w:pPr>
        <w:pStyle w:val="TNRHeading3"/>
        <w:spacing w:line="360" w:lineRule="auto"/>
        <w:jc w:val="both"/>
        <w:rPr>
          <w:color w:val="auto"/>
        </w:rPr>
      </w:pPr>
      <w:r w:rsidRPr="009C0656">
        <w:rPr>
          <w:color w:val="auto"/>
        </w:rPr>
        <w:t>The Saviour and The Delivere</w:t>
      </w:r>
      <w:r w:rsidR="00BC3726" w:rsidRPr="009C0656">
        <w:rPr>
          <w:color w:val="auto"/>
        </w:rPr>
        <w:t>r</w:t>
      </w:r>
    </w:p>
    <w:p w14:paraId="297C1A4D" w14:textId="75B4C26D" w:rsidR="00A2575E" w:rsidRPr="009C0656" w:rsidRDefault="00A2575E" w:rsidP="009C0656">
      <w:pPr>
        <w:spacing w:line="360" w:lineRule="auto"/>
        <w:jc w:val="both"/>
      </w:pPr>
      <w:r w:rsidRPr="009C0656">
        <w:t>The Saviour</w:t>
      </w:r>
      <w:r w:rsidR="004467D0" w:rsidRPr="009C0656">
        <w:t xml:space="preserve"> and </w:t>
      </w:r>
      <w:r w:rsidRPr="009C0656">
        <w:t xml:space="preserve">Deliverer frame operates through </w:t>
      </w:r>
      <w:r w:rsidR="004467D0" w:rsidRPr="009C0656">
        <w:t xml:space="preserve">the mechanism of </w:t>
      </w:r>
      <w:r w:rsidRPr="009C0656">
        <w:t xml:space="preserve">personal devotion to a specific, present, </w:t>
      </w:r>
      <w:r w:rsidR="00593C3B" w:rsidRPr="009C0656">
        <w:t xml:space="preserve">and </w:t>
      </w:r>
      <w:r w:rsidRPr="009C0656">
        <w:t>divine individual. Abstract doctrine can produce belief</w:t>
      </w:r>
      <w:r w:rsidR="0081467F" w:rsidRPr="009C0656">
        <w:t>, but</w:t>
      </w:r>
      <w:r w:rsidRPr="009C0656">
        <w:t xml:space="preserve"> an embodied, addressable redeemer produces loyalty of a qualitatively different kind </w:t>
      </w:r>
      <w:r w:rsidR="0081467F" w:rsidRPr="009C0656">
        <w:t xml:space="preserve">where it </w:t>
      </w:r>
      <w:r w:rsidRPr="009C0656">
        <w:t xml:space="preserve">is felt as a relational </w:t>
      </w:r>
      <w:r w:rsidR="00B250FC" w:rsidRPr="009C0656">
        <w:t>obligation and</w:t>
      </w:r>
      <w:r w:rsidRPr="009C0656">
        <w:t xml:space="preserve"> is correspondingly more durable under conditions of material hardship and institutional pressure.</w:t>
      </w:r>
    </w:p>
    <w:p w14:paraId="1909C7E1" w14:textId="2AAE25B9" w:rsidR="00A2575E" w:rsidRPr="009C0656" w:rsidRDefault="00B92001" w:rsidP="009C0656">
      <w:pPr>
        <w:spacing w:line="360" w:lineRule="auto"/>
        <w:jc w:val="both"/>
      </w:pPr>
      <w:r w:rsidRPr="009C0656">
        <w:t>Fard’s construction of his own authority involved presenting himself to prospective members in their homes while deliberately withholding aspects of his identity: ‘I am W. D. Fard […] More about myself I will not tell you yet, for the time has not yet come […] You have not yet seen me in my royal robes’ (Bontemps and Conroy, 1945, p. 178). This self-identification establishes origin and authority while preserving an element of mystery. The fuller revelation of Fard’s identity remains forthcoming, making continued engagement with the movement part of the process through which that disclosure will occur.</w:t>
      </w:r>
      <w:r w:rsidR="00A2575E" w:rsidRPr="009C0656">
        <w:t xml:space="preserve"> </w:t>
      </w:r>
      <w:r w:rsidR="00540E2D" w:rsidRPr="009C0656">
        <w:lastRenderedPageBreak/>
        <w:t xml:space="preserve">Fard </w:t>
      </w:r>
      <w:r w:rsidR="00A2575E" w:rsidRPr="009C0656">
        <w:t xml:space="preserve">positions divine authority </w:t>
      </w:r>
      <w:r w:rsidR="00194065" w:rsidRPr="009C0656">
        <w:t>in</w:t>
      </w:r>
      <w:r w:rsidR="00A2575E" w:rsidRPr="009C0656">
        <w:t xml:space="preserve"> a relational framework of kinship </w:t>
      </w:r>
      <w:r w:rsidR="00540E2D" w:rsidRPr="009C0656">
        <w:t xml:space="preserve">in contrast to what could have been </w:t>
      </w:r>
      <w:r w:rsidR="00A2575E" w:rsidRPr="009C0656">
        <w:t>vertical command, establishing from the outset that the Saviour is present among his people</w:t>
      </w:r>
      <w:r w:rsidR="00540E2D" w:rsidRPr="009C0656">
        <w:t xml:space="preserve"> and not distant</w:t>
      </w:r>
      <w:r w:rsidR="00A2575E" w:rsidRPr="009C0656">
        <w:t>.</w:t>
      </w:r>
    </w:p>
    <w:p w14:paraId="2745B64A" w14:textId="307FE36C" w:rsidR="00A2575E" w:rsidRPr="009C0656" w:rsidRDefault="002E4BB4" w:rsidP="009C0656">
      <w:pPr>
        <w:spacing w:line="360" w:lineRule="auto"/>
        <w:jc w:val="both"/>
      </w:pPr>
      <w:r w:rsidRPr="009C0656">
        <w:t xml:space="preserve">The </w:t>
      </w:r>
      <w:r w:rsidRPr="009C0656">
        <w:rPr>
          <w:i/>
          <w:iCs/>
        </w:rPr>
        <w:t>FCTI</w:t>
      </w:r>
      <w:r w:rsidRPr="009C0656">
        <w:t xml:space="preserve"> reinforces this identification, describing Fard as the one ‘who hails from the Holy City Mecca to deliver the Oppressed Blacks of America’ (E. Muhammad, 1934a). Biblical exegesis within the newspaper extends the identification into prophetic fulfilment. The reproduced Ezekiel passage presents Fard as the prophet sent to ‘the children of Israel (</w:t>
      </w:r>
      <w:proofErr w:type="spellStart"/>
      <w:r w:rsidRPr="009C0656">
        <w:t>Asiatics</w:t>
      </w:r>
      <w:proofErr w:type="spellEnd"/>
      <w:r w:rsidRPr="009C0656">
        <w:t xml:space="preserve"> in America) to a rebellious Nation’, whose people are ‘impudent children and stiff-hearted’ but who ‘shall know that there hath been a PROPHET among them’ (E. Muhammad, 1934d). The identification accumulates several strands of prophetic legitimacy, presenting Fard as the point at which longstanding expectations converge. A prolonged absence of direct prophecy to Black Americans is represented as ending with the arrival of a physically present figure. His reported origin in Mecca, direct contact with members, and knowledge of their names and histories become evidence of his divine role.</w:t>
      </w:r>
    </w:p>
    <w:p w14:paraId="386F0D86" w14:textId="63A24EE2" w:rsidR="00A2575E" w:rsidRPr="009C0656" w:rsidRDefault="00E17D2D" w:rsidP="009C0656">
      <w:pPr>
        <w:spacing w:line="360" w:lineRule="auto"/>
        <w:jc w:val="both"/>
      </w:pPr>
      <w:r w:rsidRPr="009C0656">
        <w:t xml:space="preserve">The notion of presence is significant </w:t>
      </w:r>
      <w:r w:rsidR="00025EE2" w:rsidRPr="009C0656">
        <w:t>when</w:t>
      </w:r>
      <w:r w:rsidR="00AB3687" w:rsidRPr="009C0656">
        <w:t xml:space="preserve"> understood as narrative inversion</w:t>
      </w:r>
      <w:r w:rsidRPr="009C0656">
        <w:t xml:space="preserve">. </w:t>
      </w:r>
      <w:r w:rsidR="00A402BB" w:rsidRPr="009C0656">
        <w:t>The God represented through Christianity is recast through Fard’s direct involvement in members’ lives</w:t>
      </w:r>
      <w:r w:rsidR="00263FF9" w:rsidRPr="009C0656">
        <w:t xml:space="preserve">, as </w:t>
      </w:r>
      <w:r w:rsidR="00A402BB" w:rsidRPr="009C0656">
        <w:t xml:space="preserve">he ate with them, addressed them by name, and offered rewards in terms that could be experienced and verified. Members had seen him, eaten with him, and been personally addressed by him, forms of contact with the divine that the mystery God framework had structurally precluded (Beynon, 1938, p. 895). Fard’s recurring designation as ‘our saviour’ similarly frames his authority through personal deliverance. Fard (1933a) reinforces this relationality by assuring Elijah that ‘Allah is with you’. Whether or not this constitutes a formal claim of divinity, it places divine presence </w:t>
      </w:r>
      <w:r w:rsidR="00194065" w:rsidRPr="009C0656">
        <w:t>in</w:t>
      </w:r>
      <w:r w:rsidR="00A402BB" w:rsidRPr="009C0656">
        <w:t xml:space="preserve"> the movement’s immediate activities and promises.</w:t>
      </w:r>
    </w:p>
    <w:p w14:paraId="1766A2F3" w14:textId="6C68BE9A" w:rsidR="00A2575E" w:rsidRPr="009C0656" w:rsidRDefault="00AB6E30" w:rsidP="009C0656">
      <w:pPr>
        <w:spacing w:line="360" w:lineRule="auto"/>
        <w:jc w:val="both"/>
      </w:pPr>
      <w:r w:rsidRPr="009C0656">
        <w:t xml:space="preserve">Fard’s disappearance in 1934 created a succession problem because the frame’s motivational force had been closely tied to his physical presence. His absence risked rendering divine authority increasingly abstract, a form of authority the movement’s diagnostic frame associated with the religious deception of the dominant order. Elijah </w:t>
      </w:r>
      <w:r w:rsidR="000B58E0" w:rsidRPr="009C0656">
        <w:t xml:space="preserve">Muhammad </w:t>
      </w:r>
      <w:r w:rsidRPr="009C0656">
        <w:t>responded by fixing Fard’s identity as permanently divine and positioning himself as its authorised interpreter. At the 1936 Saviours Day, Elijah (1936) announces ‘a voice raised high’ declaring that the Saviour ‘has been born’ to intercede for ‘me and my people’. This formulation retrospectively stabilises Fard’s divine status as a cosmic fact. Elijah is also repeatedly designated ‘the Prophet Elijah in Chicago’, invoking the biblical Elijah’s role in preparing the way for the Messiah (Beynon, 1938, p. 907). He occupies a typological succession whose legitimacy depends upon the continued recognition of Fard’s unique divine status.</w:t>
      </w:r>
    </w:p>
    <w:p w14:paraId="66041233" w14:textId="07A3FE63" w:rsidR="001D54BE" w:rsidRPr="009C0656" w:rsidRDefault="00E2797E" w:rsidP="009C0656">
      <w:pPr>
        <w:spacing w:line="360" w:lineRule="auto"/>
        <w:jc w:val="both"/>
        <w:rPr>
          <w:highlight w:val="yellow"/>
        </w:rPr>
      </w:pPr>
      <w:r w:rsidRPr="009C0656">
        <w:t xml:space="preserve">The mechanism of framing change during this succession consequently involved the internal codification of devotional loyalty. Elijah’s legitimacy depended upon the absolute divinity of Fard, established as the Saviour whose arrival fulfilled prophecy. His own authority as Messenger was </w:t>
      </w:r>
      <w:r w:rsidRPr="009C0656">
        <w:lastRenderedPageBreak/>
        <w:t>relational, deriving from his position as the authorised channel through which the Saviour’s truth reached the movement.</w:t>
      </w:r>
      <w:r w:rsidR="000B58E0" w:rsidRPr="009C0656">
        <w:t xml:space="preserve"> </w:t>
      </w:r>
      <w:r w:rsidR="00194065" w:rsidRPr="009C0656">
        <w:t>C</w:t>
      </w:r>
      <w:r w:rsidRPr="009C0656">
        <w:t xml:space="preserve">ontesting Elijah’s interpretation constituted a rupture in the chain of divine transmission. The result was a closed interpretive field in which dissent </w:t>
      </w:r>
      <w:r w:rsidR="000E646C" w:rsidRPr="009C0656">
        <w:t>was</w:t>
      </w:r>
      <w:r w:rsidRPr="009C0656">
        <w:t xml:space="preserve"> represented as misalignment with Allah. Challenges to Elijah’s authority </w:t>
      </w:r>
      <w:r w:rsidR="000E646C" w:rsidRPr="009C0656">
        <w:t>were</w:t>
      </w:r>
      <w:r w:rsidRPr="009C0656">
        <w:t xml:space="preserve"> reframed as challenges to the Saviour himself. This structure helps explain the difficulty of adjudicating doctrinal disputes within the movement, including the splintering documented by Sahib (1995 [1951]). </w:t>
      </w:r>
      <w:r w:rsidR="001D54BE" w:rsidRPr="009C0656">
        <w:t>The frame</w:t>
      </w:r>
      <w:r w:rsidR="006C1B80" w:rsidRPr="009C0656">
        <w:t>’</w:t>
      </w:r>
      <w:r w:rsidR="001D54BE" w:rsidRPr="009C0656">
        <w:t xml:space="preserve">s own </w:t>
      </w:r>
      <w:r w:rsidR="004719EA" w:rsidRPr="009C0656">
        <w:t>system</w:t>
      </w:r>
      <w:r w:rsidR="009C7D50" w:rsidRPr="009C0656">
        <w:t xml:space="preserve"> </w:t>
      </w:r>
      <w:r w:rsidR="001D54BE" w:rsidRPr="009C0656">
        <w:t>turned questions of legitimacy into questions of apostasy, making internal opposition an inherently subversive act.</w:t>
      </w:r>
    </w:p>
    <w:p w14:paraId="73FB26BA" w14:textId="77777777" w:rsidR="00BC3726" w:rsidRPr="009C0656" w:rsidRDefault="00BC3726" w:rsidP="009C0656">
      <w:pPr>
        <w:spacing w:line="360" w:lineRule="auto"/>
        <w:jc w:val="both"/>
      </w:pPr>
    </w:p>
    <w:p w14:paraId="250DCF15" w14:textId="77777777" w:rsidR="00D75DEC" w:rsidRPr="009C0656" w:rsidRDefault="00D75DEC" w:rsidP="009C0656">
      <w:pPr>
        <w:spacing w:line="360" w:lineRule="auto"/>
        <w:jc w:val="both"/>
        <w:rPr>
          <w:rFonts w:eastAsiaTheme="majorEastAsia" w:cstheme="majorBidi"/>
          <w:bCs/>
          <w:sz w:val="32"/>
          <w:szCs w:val="32"/>
        </w:rPr>
      </w:pPr>
      <w:r w:rsidRPr="009C0656">
        <w:br w:type="page"/>
      </w:r>
    </w:p>
    <w:p w14:paraId="0116D689" w14:textId="52D08868" w:rsidR="007F14ED" w:rsidRPr="009C0656" w:rsidRDefault="00D6645B" w:rsidP="009C0656">
      <w:pPr>
        <w:pStyle w:val="TNRHeading2"/>
        <w:spacing w:line="360" w:lineRule="auto"/>
        <w:jc w:val="both"/>
        <w:rPr>
          <w:color w:val="auto"/>
        </w:rPr>
      </w:pPr>
      <w:r w:rsidRPr="009C0656">
        <w:rPr>
          <w:color w:val="auto"/>
        </w:rPr>
        <w:lastRenderedPageBreak/>
        <w:t>Rhetorical and Cultural Resources</w:t>
      </w:r>
    </w:p>
    <w:p w14:paraId="55988951" w14:textId="77777777" w:rsidR="00682A51" w:rsidRPr="009C0656" w:rsidRDefault="00682A51" w:rsidP="009C0656">
      <w:pPr>
        <w:pStyle w:val="TNRHeading3"/>
        <w:spacing w:line="360" w:lineRule="auto"/>
        <w:jc w:val="both"/>
        <w:rPr>
          <w:color w:val="auto"/>
        </w:rPr>
      </w:pPr>
      <w:r w:rsidRPr="009C0656">
        <w:rPr>
          <w:color w:val="auto"/>
        </w:rPr>
        <w:t>The Structural Performance Limit</w:t>
      </w:r>
    </w:p>
    <w:p w14:paraId="7623438C" w14:textId="0EA1F33A" w:rsidR="009E20AC" w:rsidRPr="009C0656" w:rsidRDefault="009E20AC" w:rsidP="009C0656">
      <w:pPr>
        <w:spacing w:line="360" w:lineRule="auto"/>
        <w:jc w:val="both"/>
      </w:pPr>
      <w:r w:rsidRPr="009C0656">
        <w:t>The analysis conducted across the preceding sections has proceeded almost entirely from written sources</w:t>
      </w:r>
      <w:r w:rsidR="001C4786" w:rsidRPr="009C0656">
        <w:t>, comprising</w:t>
      </w:r>
      <w:r w:rsidRPr="009C0656">
        <w:t xml:space="preserve"> private correspondence, catechetical instructional texts, documented observations, and a weekly newspaper. This textual concentration is a structural feature of the period under study and has implications on what the analysis can claim and what it cannot.</w:t>
      </w:r>
    </w:p>
    <w:p w14:paraId="41E34925" w14:textId="6507E9CE" w:rsidR="009E20AC" w:rsidRPr="009C0656" w:rsidRDefault="009E20AC" w:rsidP="009C0656">
      <w:pPr>
        <w:spacing w:line="360" w:lineRule="auto"/>
        <w:jc w:val="both"/>
      </w:pPr>
      <w:r w:rsidRPr="009C0656">
        <w:t xml:space="preserve">Rhetorical scholarship conventionally distinguishes the composed text of an </w:t>
      </w:r>
      <w:proofErr w:type="spellStart"/>
      <w:r w:rsidRPr="009C0656">
        <w:t>oration</w:t>
      </w:r>
      <w:proofErr w:type="spellEnd"/>
      <w:r w:rsidRPr="009C0656">
        <w:t xml:space="preserve"> from its delivery, the vocal and interactional dimension through which a text is realised before a live audience, a distinction already implicit in Aristotle</w:t>
      </w:r>
      <w:r w:rsidR="006C1B80" w:rsidRPr="009C0656">
        <w:t>’</w:t>
      </w:r>
      <w:r w:rsidRPr="009C0656">
        <w:t xml:space="preserve">s own separate treatment of style and delivery </w:t>
      </w:r>
      <w:r w:rsidR="0029228F" w:rsidRPr="009C0656">
        <w:t>(Aristotle, 2007 [4th century BCE], 3.1)</w:t>
      </w:r>
      <w:r w:rsidR="002A5120" w:rsidRPr="009C0656">
        <w:t>.</w:t>
      </w:r>
      <w:r w:rsidRPr="009C0656">
        <w:t xml:space="preserve"> For Period 1, only the first of these dimensions survives in directly examinable form. No recording, transcription, or eyewitness account of Fard</w:t>
      </w:r>
      <w:r w:rsidR="00830B8E" w:rsidRPr="009C0656">
        <w:t xml:space="preserve"> Muhammad</w:t>
      </w:r>
      <w:r w:rsidRPr="009C0656">
        <w:t xml:space="preserve"> preaching survives, with only few second-hand descriptions of oral delivery, which themselves are several steps removed from the performance they describe as mediated through the sociologist with a particular external interpretive framework.</w:t>
      </w:r>
    </w:p>
    <w:p w14:paraId="4779F0E0" w14:textId="6A44E237" w:rsidR="009E20AC" w:rsidRPr="009C0656" w:rsidRDefault="009E20AC" w:rsidP="009C0656">
      <w:pPr>
        <w:spacing w:line="360" w:lineRule="auto"/>
        <w:jc w:val="both"/>
      </w:pPr>
      <w:r w:rsidRPr="009C0656">
        <w:t>This absence, though, should not be read as evidence that oral performance played a marginal role in the movement</w:t>
      </w:r>
      <w:r w:rsidR="006C1B80" w:rsidRPr="009C0656">
        <w:t>’</w:t>
      </w:r>
      <w:r w:rsidRPr="009C0656">
        <w:t xml:space="preserve">s early mobilisation. Every indication </w:t>
      </w:r>
      <w:r w:rsidR="00194065" w:rsidRPr="009C0656">
        <w:t>in</w:t>
      </w:r>
      <w:r w:rsidRPr="009C0656">
        <w:t xml:space="preserve"> the surviving textual record points toward extensive spoken transmission as the primary mode through which Fard</w:t>
      </w:r>
      <w:r w:rsidR="006C1B80" w:rsidRPr="009C0656">
        <w:t>’</w:t>
      </w:r>
      <w:r w:rsidRPr="009C0656">
        <w:t>s teaching reached converts prior to 1934, given both the low literacy of much of the movement</w:t>
      </w:r>
      <w:r w:rsidR="006C1B80" w:rsidRPr="009C0656">
        <w:t>’</w:t>
      </w:r>
      <w:r w:rsidRPr="009C0656">
        <w:t>s early constituency and the domestic, face-to-face setting of the movement</w:t>
      </w:r>
      <w:r w:rsidR="006C1B80" w:rsidRPr="009C0656">
        <w:t>’</w:t>
      </w:r>
      <w:r w:rsidRPr="009C0656">
        <w:t xml:space="preserve">s earliest meetings. The heavily textual corpus that survives was produced substantially for internal circulation and study. The instructional nature of certain texts repeatedly presupposes an oral relationship between teacher and student, especially alongside the instruction that students must </w:t>
      </w:r>
      <w:r w:rsidR="006C1B80" w:rsidRPr="009C0656">
        <w:t>‘</w:t>
      </w:r>
      <w:r w:rsidRPr="009C0656">
        <w:t>memorize, By Heart, all Answers</w:t>
      </w:r>
      <w:r w:rsidR="006C1B80" w:rsidRPr="009C0656">
        <w:t>’</w:t>
      </w:r>
      <w:r w:rsidRPr="009C0656">
        <w:t xml:space="preserve"> (F</w:t>
      </w:r>
      <w:r w:rsidR="001F5284" w:rsidRPr="009C0656">
        <w:t>. Muhammad, 1934</w:t>
      </w:r>
      <w:r w:rsidR="00A445CF" w:rsidRPr="009C0656">
        <w:t>, Original Rules of Instruction, Rule 1</w:t>
      </w:r>
      <w:r w:rsidRPr="009C0656">
        <w:t>).</w:t>
      </w:r>
    </w:p>
    <w:p w14:paraId="2C1A9273" w14:textId="73EA8101" w:rsidR="009E20AC" w:rsidRPr="009C0656" w:rsidRDefault="009E20AC" w:rsidP="009C0656">
      <w:pPr>
        <w:spacing w:line="360" w:lineRule="auto"/>
        <w:jc w:val="both"/>
      </w:pPr>
      <w:r w:rsidRPr="009C0656">
        <w:t xml:space="preserve">Certain textual features nonetheless produce approximate inferences about the oral means through which these texts were composed. The catechetical structure of the </w:t>
      </w:r>
      <w:r w:rsidRPr="009C0656">
        <w:rPr>
          <w:i/>
          <w:iCs/>
        </w:rPr>
        <w:t>Lessons</w:t>
      </w:r>
      <w:r w:rsidRPr="009C0656">
        <w:t xml:space="preserve"> and of </w:t>
      </w:r>
      <w:r w:rsidR="00822D5D" w:rsidRPr="009C0656">
        <w:t>‘</w:t>
      </w:r>
      <w:r w:rsidRPr="009C0656">
        <w:t>English Lesson C-1</w:t>
      </w:r>
      <w:r w:rsidR="00822D5D" w:rsidRPr="009C0656">
        <w:t>’</w:t>
      </w:r>
      <w:r w:rsidRPr="009C0656">
        <w:t xml:space="preserve"> supports the inference that instruction was delivered through structured question-and-answer exchange between a designated teacher and an examined student, since the texts are formatted as transcripts of exactly this kind of exchange and their explicit examination </w:t>
      </w:r>
      <w:r w:rsidR="00E73D85" w:rsidRPr="009C0656">
        <w:t>format</w:t>
      </w:r>
      <w:r w:rsidRPr="009C0656">
        <w:t xml:space="preserve">, the </w:t>
      </w:r>
      <w:r w:rsidR="00822D5D" w:rsidRPr="009C0656">
        <w:t>‘</w:t>
      </w:r>
      <w:r w:rsidRPr="009C0656">
        <w:t>Student Enrolment</w:t>
      </w:r>
      <w:r w:rsidR="006C1B80" w:rsidRPr="009C0656">
        <w:t>’</w:t>
      </w:r>
      <w:r w:rsidRPr="009C0656">
        <w:t>s</w:t>
      </w:r>
      <w:r w:rsidR="00822D5D" w:rsidRPr="009C0656">
        <w:t>’</w:t>
      </w:r>
      <w:r w:rsidRPr="009C0656">
        <w:t xml:space="preserve"> ten questions and the </w:t>
      </w:r>
      <w:r w:rsidR="00822D5D" w:rsidRPr="009C0656">
        <w:t>‘</w:t>
      </w:r>
      <w:r w:rsidRPr="009C0656">
        <w:t>First Term Examination</w:t>
      </w:r>
      <w:r w:rsidR="00822D5D" w:rsidRPr="009C0656">
        <w:t>’</w:t>
      </w:r>
      <w:r w:rsidRPr="009C0656">
        <w:t xml:space="preserve">, presupposes a live recitation event. While informative on the format of oral transmission, it does not provide any claim about the affective delivery with which that recitation was conducted. Similarly, the direct address and imperative mood that pervade the </w:t>
      </w:r>
      <w:r w:rsidR="00785892" w:rsidRPr="009C0656">
        <w:rPr>
          <w:i/>
          <w:iCs/>
        </w:rPr>
        <w:t>FCTI</w:t>
      </w:r>
      <w:r w:rsidRPr="009C0656">
        <w:t xml:space="preserve">, </w:t>
      </w:r>
      <w:r w:rsidR="006C1B80" w:rsidRPr="009C0656">
        <w:t>‘</w:t>
      </w:r>
      <w:r w:rsidRPr="009C0656">
        <w:t>O our People! Accept the divine Caller,</w:t>
      </w:r>
      <w:r w:rsidR="006C1B80" w:rsidRPr="009C0656">
        <w:t>’</w:t>
      </w:r>
      <w:r w:rsidRPr="009C0656">
        <w:t xml:space="preserve"> </w:t>
      </w:r>
      <w:r w:rsidR="006C1B80" w:rsidRPr="009C0656">
        <w:t>‘</w:t>
      </w:r>
      <w:r w:rsidRPr="009C0656">
        <w:t>Fear you not, oh my people, and be not ashamed,</w:t>
      </w:r>
      <w:r w:rsidR="006C1B80" w:rsidRPr="009C0656">
        <w:t>’</w:t>
      </w:r>
      <w:r w:rsidRPr="009C0656">
        <w:t xml:space="preserve"> further suggest that this material was composed with sermonic delivery in mind and was very likely read aloud in temple settings in addition to its circulation as a printed newspaper</w:t>
      </w:r>
      <w:r w:rsidR="00BB0589" w:rsidRPr="009C0656">
        <w:t xml:space="preserve"> (E. Muhammad, </w:t>
      </w:r>
      <w:r w:rsidR="00BB0589" w:rsidRPr="009C0656">
        <w:lastRenderedPageBreak/>
        <w:t>1934a)</w:t>
      </w:r>
      <w:r w:rsidRPr="009C0656">
        <w:t>. Beyond a small number of surviving second-hand sermon accounts and Elijah Muhammad</w:t>
      </w:r>
      <w:r w:rsidR="006C1B80" w:rsidRPr="009C0656">
        <w:t>’</w:t>
      </w:r>
      <w:r w:rsidRPr="009C0656">
        <w:t>s Saviour</w:t>
      </w:r>
      <w:r w:rsidR="006C1B80" w:rsidRPr="009C0656">
        <w:t>’</w:t>
      </w:r>
      <w:r w:rsidRPr="009C0656">
        <w:t>s Day address, however, there is little evidence from which to reconstruct the oral performance of either Elijah Muhammad or Fard. The historical record therefore permits only limited conclusions regarding their vocal delivery or broader performative style.</w:t>
      </w:r>
    </w:p>
    <w:p w14:paraId="12710DC9" w14:textId="25BE72B3" w:rsidR="009E20AC" w:rsidRPr="009C0656" w:rsidRDefault="009E20AC" w:rsidP="009C0656">
      <w:pPr>
        <w:spacing w:line="360" w:lineRule="auto"/>
        <w:jc w:val="both"/>
      </w:pPr>
      <w:r w:rsidRPr="009C0656">
        <w:t>The distinction being drawn here, between what a text</w:t>
      </w:r>
      <w:r w:rsidR="006C1B80" w:rsidRPr="009C0656">
        <w:t>’</w:t>
      </w:r>
      <w:r w:rsidRPr="009C0656">
        <w:t>s formal features indicate about the kind of oral event it was designed for and what can be known about the specific character of that event</w:t>
      </w:r>
      <w:r w:rsidR="006C1B80" w:rsidRPr="009C0656">
        <w:t>’</w:t>
      </w:r>
      <w:r w:rsidRPr="009C0656">
        <w:t>s execution, marks a limit on the kind of rhetorical claim this chapter is positioned to make for Period 1. What the textual record does permit, and what the sections that follow develop, is analysis of the rhetorical architecture available and embedded within the composed texts. Despite the absence of recoverable vocal delivery and performative style, the foundational corpus contains substantial and analytically tractable evidence of the three classical modes of rhetorical persuasion.</w:t>
      </w:r>
    </w:p>
    <w:p w14:paraId="6E58894F" w14:textId="0ACF6DBF" w:rsidR="00682A51" w:rsidRPr="009C0656" w:rsidRDefault="00C434EE" w:rsidP="009C0656">
      <w:pPr>
        <w:spacing w:line="360" w:lineRule="auto"/>
        <w:jc w:val="both"/>
      </w:pPr>
      <w:r w:rsidRPr="009C0656">
        <w:t>The analysis of ethos, pathos, and logos that follows operates at the rhetorical-critical level, examining how the diagnostic, prognostic, and motivational frames already reconstructed were rendered credible</w:t>
      </w:r>
      <w:r w:rsidR="00934D5E" w:rsidRPr="009C0656">
        <w:t xml:space="preserve"> </w:t>
      </w:r>
      <w:r w:rsidRPr="009C0656">
        <w:t>and rationally authoritative, and therefore serves to complement the frame analysis.</w:t>
      </w:r>
      <w:r w:rsidR="00934D5E" w:rsidRPr="009C0656">
        <w:t xml:space="preserve"> Within the study's critical realist vocabulary, these classical categories are treated as rhetorical mechanisms</w:t>
      </w:r>
      <w:r w:rsidR="00C33543" w:rsidRPr="009C0656">
        <w:t>. They are</w:t>
      </w:r>
      <w:r w:rsidR="00934D5E" w:rsidRPr="009C0656">
        <w:t xml:space="preserve"> channels through which the generative conditions were translated, at the level of the actual and the empirical, into the persuasive effects documented in the surviving corpus. </w:t>
      </w:r>
    </w:p>
    <w:p w14:paraId="2B8CA924" w14:textId="5D8AC7DC" w:rsidR="00EB0DA1" w:rsidRPr="009C0656" w:rsidRDefault="0076108A" w:rsidP="009C0656">
      <w:pPr>
        <w:pStyle w:val="TNRHeading3"/>
        <w:spacing w:line="360" w:lineRule="auto"/>
        <w:jc w:val="both"/>
        <w:rPr>
          <w:color w:val="auto"/>
        </w:rPr>
      </w:pPr>
      <w:r w:rsidRPr="009C0656">
        <w:rPr>
          <w:color w:val="auto"/>
        </w:rPr>
        <w:t>Ethos</w:t>
      </w:r>
    </w:p>
    <w:p w14:paraId="7348838C" w14:textId="62E535F9" w:rsidR="006A7033" w:rsidRPr="009C0656" w:rsidRDefault="009F2893" w:rsidP="009C0656">
      <w:pPr>
        <w:spacing w:line="360" w:lineRule="auto"/>
        <w:jc w:val="both"/>
      </w:pPr>
      <w:r w:rsidRPr="009C0656">
        <w:t xml:space="preserve">Foundational texts necessarily establish the authority of the leader before diagnostic or prognostic claims can gain purchase, since persuasive force depends first on the credibility of whoever advances the claim (Aristotle, 2007 [4th century BCE], 1.2). Ethos therefore speaks first to Fard’s divine authority. The historical record, however, complicates any assumption that such authority automatically produces durable mobilisation. The 1930s generated numerous claimants to prophetic or divine status </w:t>
      </w:r>
      <w:r w:rsidR="00194065" w:rsidRPr="009C0656">
        <w:t>in</w:t>
      </w:r>
      <w:r w:rsidRPr="009C0656">
        <w:t xml:space="preserve"> Black American religious life, including Fard’s immediate predecessor Noble Drew Ali. Few established followings that survived their own disappearance, and fewer still produced movements capable of enduring across subsequent decades. Why the NOI succeeded where structurally comparable claims did not therefore </w:t>
      </w:r>
      <w:proofErr w:type="gramStart"/>
      <w:r w:rsidRPr="009C0656">
        <w:t>remains</w:t>
      </w:r>
      <w:proofErr w:type="gramEnd"/>
      <w:r w:rsidRPr="009C0656">
        <w:t xml:space="preserve"> central to this study. The ethos strategies examined here provide part of the explanation. Divine authority alone does not account for the movement’s durability; the rhetorical construction of that authority, and its eventual transfer to a successor without a comparable ontological claim, reveal the specifically rhetorical mechanisms through which continuity was achieved.</w:t>
      </w:r>
    </w:p>
    <w:p w14:paraId="2B431A40" w14:textId="69281BE7" w:rsidR="00361AD4" w:rsidRPr="009C0656" w:rsidRDefault="00361AD4" w:rsidP="009C0656">
      <w:pPr>
        <w:spacing w:line="360" w:lineRule="auto"/>
        <w:jc w:val="both"/>
      </w:pPr>
      <w:r w:rsidRPr="009C0656">
        <w:t xml:space="preserve">Fard’s ethos is constructed through several mutually reinforcing forms of credibility. Aristotle (ibid., 2.1) provides a useful framework through his classical account of ethos, grounded in the qualities a speaker demonstrates to an audience. Although these categories are not invoked explicitly </w:t>
      </w:r>
      <w:r w:rsidR="00194065" w:rsidRPr="009C0656">
        <w:t>in</w:t>
      </w:r>
      <w:r w:rsidRPr="009C0656">
        <w:t xml:space="preserve"> NOI </w:t>
      </w:r>
      <w:r w:rsidRPr="009C0656">
        <w:lastRenderedPageBreak/>
        <w:t>discourse, they correspond to distinct strands of Fard’s self-presentation and Elijah’s subsequent presentation of him.</w:t>
      </w:r>
    </w:p>
    <w:p w14:paraId="4852C6D7" w14:textId="0BA2B687" w:rsidR="00361AD4" w:rsidRPr="009C0656" w:rsidRDefault="00361AD4" w:rsidP="009C0656">
      <w:pPr>
        <w:spacing w:line="360" w:lineRule="auto"/>
        <w:jc w:val="both"/>
      </w:pPr>
      <w:r w:rsidRPr="009C0656">
        <w:t xml:space="preserve">Historical and genealogical legitimacy supplies one such strand. Converts reported that Fard was ‘born in Mecca, the son of wealthy parents of the tribe of the </w:t>
      </w:r>
      <w:proofErr w:type="spellStart"/>
      <w:r w:rsidRPr="009C0656">
        <w:t>Koreish</w:t>
      </w:r>
      <w:proofErr w:type="spellEnd"/>
      <w:r w:rsidRPr="009C0656">
        <w:t>, the tribe from which Mohammed the Prophet sprang’ and had been ‘educated at a college in England’ or at the University of Southern California ‘in preparation for a diplomatic career in the service of the kingdom of the Hejaz’ (Beynon, 1938, pp. 896–897). Neither claim can be independently verified, yet both contribute to the construction of Fard’s authority. Descent from the Prophet Muhammad’s tribe establishes an Islamic genealogical connection, while the reported European or American education presents him as intellectually qualified to address a population with limited access to formal education during the Depression. These claims portray Fard as an unusually qualified figure whose authority derives partly from knowledge and experience acquired beyond the community before entering it as its deliverer.</w:t>
      </w:r>
    </w:p>
    <w:p w14:paraId="57CE6E42" w14:textId="34E4E392" w:rsidR="00E575CE" w:rsidRPr="009C0656" w:rsidRDefault="00FF3E64" w:rsidP="009C0656">
      <w:pPr>
        <w:spacing w:line="360" w:lineRule="auto"/>
        <w:jc w:val="both"/>
      </w:pPr>
      <w:r w:rsidRPr="009C0656">
        <w:t>A second strand of ethos operated through Fard’s physical presentation. Descriptions characterised him as ‘</w:t>
      </w:r>
      <w:proofErr w:type="spellStart"/>
      <w:r w:rsidRPr="009C0656">
        <w:t>light-colored</w:t>
      </w:r>
      <w:proofErr w:type="spellEnd"/>
      <w:r w:rsidRPr="009C0656">
        <w:t>, with an oriental cast of countenance’, a racial ambiguity that functioned as a significant component of his public presentation (Bontemps and Conroy, 1945, p. 178). Fard could establish kinship with his audience through his address to converts as brothers while maintaining sufficient difference to distinguish his origins and knowledge. His own deliberately incomplete descriptions of his identity further converted this ambiguity into a rhetorical resource (ibid.). Ethos here depends upon controlled disclosure</w:t>
      </w:r>
      <w:r w:rsidR="0059472C" w:rsidRPr="009C0656">
        <w:t xml:space="preserve"> where</w:t>
      </w:r>
      <w:r w:rsidRPr="009C0656">
        <w:t xml:space="preserve"> enough is revealed to establish authority and kinship, while further knowledge remains withheld, creating an expectation of eventual revelation conditioned upon continued adherence.</w:t>
      </w:r>
    </w:p>
    <w:p w14:paraId="42AAEFFE" w14:textId="29482416" w:rsidR="006A7033" w:rsidRPr="009C0656" w:rsidRDefault="00BC03AD" w:rsidP="009C0656">
      <w:pPr>
        <w:spacing w:line="360" w:lineRule="auto"/>
        <w:jc w:val="both"/>
      </w:pPr>
      <w:r w:rsidRPr="009C0656">
        <w:t>A third strand rests on demonstrated intellectual command, particularly through mathematical and cosmological reasoning. Members reported that Fard could calculate planetary distances and claimed that he ‘was able to split one Atom, into 10 million parts’ (E. Muhammad, 1934a). The movement’s instructional materials likewise contain numerical and cosmological demonstrations of this kind. Ethos is constructed through performed technical mastery. For converts who described themselves as having had limited access to formal education, confident mathematical and scientific-sounding reasoning could carry considerable authority. Fard’s epistemic authority and the authority of the knowledge he transmitted reinforced one another within a single rhetorical operation.</w:t>
      </w:r>
    </w:p>
    <w:p w14:paraId="32C5A849" w14:textId="744E3548" w:rsidR="006A7033" w:rsidRPr="009C0656" w:rsidRDefault="00FA4654" w:rsidP="009C0656">
      <w:pPr>
        <w:spacing w:line="360" w:lineRule="auto"/>
        <w:jc w:val="both"/>
      </w:pPr>
      <w:r w:rsidRPr="009C0656">
        <w:t xml:space="preserve">These elements converge in the claim that Fard was Allah in person. His divine status supplies the ultimate foundation for claims concerning knowledge and authority, while the preceding warrants provide additional grounds through which his credibility could be established. Their cumulative structure gave Fard’s ethos resilience. </w:t>
      </w:r>
      <w:r w:rsidR="006A7033" w:rsidRPr="009C0656">
        <w:t xml:space="preserve">A convert unpersuaded by the theological claim to divinity could still find the genealogical or intellectual warrants sufficient to sustain provisional trust, and continued </w:t>
      </w:r>
      <w:r w:rsidR="006A7033" w:rsidRPr="009C0656">
        <w:lastRenderedPageBreak/>
        <w:t>exposure to the movement</w:t>
      </w:r>
      <w:r w:rsidR="006C1B80" w:rsidRPr="009C0656">
        <w:t>’</w:t>
      </w:r>
      <w:r w:rsidR="006A7033" w:rsidRPr="009C0656">
        <w:t>s teaching supplied further occasions on which the remaining warrants might be accepted.</w:t>
      </w:r>
    </w:p>
    <w:p w14:paraId="2D10AC31" w14:textId="77777777" w:rsidR="003B6FEB" w:rsidRPr="009C0656" w:rsidRDefault="003B6FEB" w:rsidP="009C0656">
      <w:pPr>
        <w:spacing w:line="360" w:lineRule="auto"/>
        <w:jc w:val="both"/>
      </w:pPr>
      <w:r w:rsidRPr="009C0656">
        <w:t>Fard’s disappearance in 1934 removed the embodied dimension of this ethos and made succession dependent upon the authority that could be transferred to a successor without comparable claims of divine origin. Elijah’s rhetorical solution was to construct an ethos of a different type, which can be characterised, following Weber’s distinction between charismatic and routinised authority, as apostolic ethos. This authority rested upon documented proximity to an external source of revelation. Elijah’s self-designation as ‘Messenger’, consistently distinguished in the movement’s literature from Fard’s designation as ‘Saviour’, makes the distinction explicit. Fard’s ethos rested upon being presented as the source of revelation; Elijah’s rested upon his claimed status as its uniquely authorised transmitter and interpreter.</w:t>
      </w:r>
    </w:p>
    <w:p w14:paraId="18E0740B" w14:textId="614822B8" w:rsidR="006A7033" w:rsidRPr="009C0656" w:rsidRDefault="001D3D72" w:rsidP="009C0656">
      <w:pPr>
        <w:spacing w:line="360" w:lineRule="auto"/>
        <w:jc w:val="both"/>
      </w:pPr>
      <w:r w:rsidRPr="009C0656">
        <w:t xml:space="preserve">This apostolic ethos was constructed through rhetorical devices distinct to Elijah’s position. The </w:t>
      </w:r>
      <w:r w:rsidRPr="009C0656">
        <w:rPr>
          <w:i/>
          <w:iCs/>
        </w:rPr>
        <w:t>FCTI</w:t>
      </w:r>
      <w:r w:rsidRPr="009C0656">
        <w:t xml:space="preserve"> repeatedly identifies him through its masthead as ‘Published Weekly by ELIJAH MOHAMMED, Minister of Islam in North America’ (E. Muhammad, 1934a; 1934b; 1934c; 1934d). He also developed authority through visible interpretive performance. His recurring biblical exegesis traced prophecies through Ezekiel, Deuteronomy, and Revelation towards their fulfilment in Fard, demonstrating scriptural competence through an interpretive chain that readers could follow and, in principle, assess for themselves. This establishes ethos through demonstrated exegetical judgement, providing a form of credibility suited to a successor whose authority could not rest upon the ontological claims available to Fard.</w:t>
      </w:r>
    </w:p>
    <w:p w14:paraId="1F6F81D3" w14:textId="6FD495FE" w:rsidR="00D6645B" w:rsidRPr="009C0656" w:rsidRDefault="006A7033" w:rsidP="009C0656">
      <w:pPr>
        <w:spacing w:line="360" w:lineRule="auto"/>
        <w:jc w:val="both"/>
      </w:pPr>
      <w:r w:rsidRPr="009C0656">
        <w:t>Elijah</w:t>
      </w:r>
      <w:r w:rsidR="006C1B80" w:rsidRPr="009C0656">
        <w:t>’</w:t>
      </w:r>
      <w:r w:rsidRPr="009C0656">
        <w:t>s ethos further depends on documented sacrifice and vulnerability. Fard</w:t>
      </w:r>
      <w:r w:rsidR="006C1B80" w:rsidRPr="009C0656">
        <w:t>’</w:t>
      </w:r>
      <w:r w:rsidRPr="009C0656">
        <w:t xml:space="preserve">s </w:t>
      </w:r>
      <w:r w:rsidR="00D51717" w:rsidRPr="009C0656">
        <w:t>(1933b) i</w:t>
      </w:r>
      <w:r w:rsidRPr="009C0656">
        <w:t xml:space="preserve">nsistence that Elijah </w:t>
      </w:r>
      <w:r w:rsidR="006C1B80" w:rsidRPr="009C0656">
        <w:t>‘</w:t>
      </w:r>
      <w:r w:rsidRPr="009C0656">
        <w:t xml:space="preserve">must not undertake the </w:t>
      </w:r>
      <w:proofErr w:type="spellStart"/>
      <w:r w:rsidRPr="009C0656">
        <w:t>labor</w:t>
      </w:r>
      <w:proofErr w:type="spellEnd"/>
      <w:r w:rsidRPr="009C0656">
        <w:t xml:space="preserve"> of Islam unless you do know it 100%,</w:t>
      </w:r>
      <w:r w:rsidR="006C1B80" w:rsidRPr="009C0656">
        <w:t>’</w:t>
      </w:r>
      <w:r w:rsidRPr="009C0656">
        <w:t xml:space="preserve"> examined above, positioned patient compliance as the substance of Elijah</w:t>
      </w:r>
      <w:r w:rsidR="006C1B80" w:rsidRPr="009C0656">
        <w:t>’</w:t>
      </w:r>
      <w:r w:rsidRPr="009C0656">
        <w:t>s emerging credibility. This credibility was earned gradually through demonstrated discipline. By the time of Fard</w:t>
      </w:r>
      <w:r w:rsidR="006C1B80" w:rsidRPr="009C0656">
        <w:t>’</w:t>
      </w:r>
      <w:r w:rsidRPr="009C0656">
        <w:t>s disappearance, Elijah</w:t>
      </w:r>
      <w:r w:rsidR="006C1B80" w:rsidRPr="009C0656">
        <w:t>’</w:t>
      </w:r>
      <w:r w:rsidRPr="009C0656">
        <w:t>s ethos rested on a documented record, internal to the movement</w:t>
      </w:r>
      <w:r w:rsidR="006C1B80" w:rsidRPr="009C0656">
        <w:t>’</w:t>
      </w:r>
      <w:r w:rsidRPr="009C0656">
        <w:t>s own archive, of having correctly executed instruction under conditions of genuine personal risk. No hereditary or purely proclaimed successor could have claimed such credibility. The transition from Fard to Elijah was thus a change in the type of authority being claimed, moving from an ethos of embodied, ontological presence to an ethos of authenticated transmission. This shift left the interpretive disputes over Fard</w:t>
      </w:r>
      <w:r w:rsidR="006C1B80" w:rsidRPr="009C0656">
        <w:t>’</w:t>
      </w:r>
      <w:r w:rsidRPr="009C0656">
        <w:t xml:space="preserve">s exact teaching unresolved and </w:t>
      </w:r>
      <w:r w:rsidR="00551BE0" w:rsidRPr="009C0656">
        <w:t xml:space="preserve">helps account for </w:t>
      </w:r>
      <w:r w:rsidRPr="009C0656">
        <w:t>why those disputes took the specific form they did with contestation over Elijah</w:t>
      </w:r>
      <w:r w:rsidR="006C1B80" w:rsidRPr="009C0656">
        <w:t>’</w:t>
      </w:r>
      <w:r w:rsidRPr="009C0656">
        <w:t>s authority representing contestation over the fidelity of transmission, since an independently verifiable revelation was no longer available to check against a living, embodied source.</w:t>
      </w:r>
    </w:p>
    <w:p w14:paraId="32929B38" w14:textId="63C4418C" w:rsidR="0076108A" w:rsidRPr="009C0656" w:rsidRDefault="0076108A" w:rsidP="009C0656">
      <w:pPr>
        <w:pStyle w:val="TNRHeading3"/>
        <w:spacing w:line="360" w:lineRule="auto"/>
        <w:jc w:val="both"/>
        <w:rPr>
          <w:color w:val="auto"/>
        </w:rPr>
      </w:pPr>
      <w:r w:rsidRPr="009C0656">
        <w:rPr>
          <w:color w:val="auto"/>
        </w:rPr>
        <w:lastRenderedPageBreak/>
        <w:t>Pathos</w:t>
      </w:r>
    </w:p>
    <w:p w14:paraId="63E73FF9" w14:textId="78482DAE" w:rsidR="002F182E" w:rsidRPr="009C0656" w:rsidRDefault="0071461D" w:rsidP="009C0656">
      <w:pPr>
        <w:spacing w:line="360" w:lineRule="auto"/>
        <w:jc w:val="both"/>
      </w:pPr>
      <w:r w:rsidRPr="009C0656">
        <w:t xml:space="preserve">Genre and audience shape which affects are foregrounded and how directly they are addressed. Attending to this variation reveals important dimensions of the movement’s persuasive practice. The principal texts considered here are Fard and Elijah Muhammad’s private correspondence, the instructional texts collected in the </w:t>
      </w:r>
      <w:r w:rsidRPr="009C0656">
        <w:rPr>
          <w:i/>
          <w:iCs/>
        </w:rPr>
        <w:t>SWL</w:t>
      </w:r>
      <w:r w:rsidRPr="009C0656">
        <w:t xml:space="preserve">, and the public-facing </w:t>
      </w:r>
      <w:r w:rsidRPr="009C0656">
        <w:rPr>
          <w:i/>
          <w:iCs/>
        </w:rPr>
        <w:t>FCTI</w:t>
      </w:r>
      <w:r w:rsidRPr="009C0656">
        <w:t xml:space="preserve">. Each establishes a different relationship between speaker and </w:t>
      </w:r>
      <w:proofErr w:type="gramStart"/>
      <w:r w:rsidRPr="009C0656">
        <w:t>audience</w:t>
      </w:r>
      <w:proofErr w:type="gramEnd"/>
      <w:r w:rsidRPr="009C0656">
        <w:t xml:space="preserve"> and each mobilises a distinct affective mode, even where doctrinal content overlaps.</w:t>
      </w:r>
    </w:p>
    <w:p w14:paraId="398E0D5F" w14:textId="08835384" w:rsidR="002F182E" w:rsidRPr="009C0656" w:rsidRDefault="009067DF" w:rsidP="009C0656">
      <w:pPr>
        <w:spacing w:line="360" w:lineRule="auto"/>
        <w:jc w:val="both"/>
      </w:pPr>
      <w:r w:rsidRPr="009C0656">
        <w:t xml:space="preserve">The letters construct an intimate, paternal affect largely absent from the movement’s public-facing material. Fard addresses Elijah as ‘Dear Brother’ and closes with ‘FROM YOUR BROTHER’, framing the relationship between leader and successor through kinship (ibid.). This warmth coexists with Fard’s visible anxiety concerning his own precarious position: ‘I have hard </w:t>
      </w:r>
      <w:proofErr w:type="spellStart"/>
      <w:r w:rsidRPr="009C0656">
        <w:t>labor</w:t>
      </w:r>
      <w:proofErr w:type="spellEnd"/>
      <w:r w:rsidRPr="009C0656">
        <w:t xml:space="preserve"> to go through with misunderstanding on the part of my peoples in this part of the planet’ (F. Muhammad, 1933a). His admission of hardship produces an </w:t>
      </w:r>
      <w:proofErr w:type="spellStart"/>
      <w:proofErr w:type="gramStart"/>
      <w:r w:rsidRPr="009C0656">
        <w:t>affect</w:t>
      </w:r>
      <w:proofErr w:type="spellEnd"/>
      <w:proofErr w:type="gramEnd"/>
      <w:r w:rsidRPr="009C0656">
        <w:t xml:space="preserve"> of shared burden, drawing Elijah into the leader’s difficulties. Fard’s (ibid.) instruction, ‘NOW BROTHER I can see you when you read this letter, don’t cry but think of the future and steady your nerve,’ makes this emotional management explicit. He anticipates Elijah’s grief and responds with reassurance and discipline, using correspondence to strengthen loyalty through familial intimacy.</w:t>
      </w:r>
    </w:p>
    <w:p w14:paraId="19A3CE28" w14:textId="699B26D7" w:rsidR="002F182E" w:rsidRPr="009C0656" w:rsidRDefault="00053206" w:rsidP="009C0656">
      <w:pPr>
        <w:spacing w:line="360" w:lineRule="auto"/>
        <w:jc w:val="both"/>
      </w:pPr>
      <w:r w:rsidRPr="009C0656">
        <w:t xml:space="preserve">The instructional texts collected in the </w:t>
      </w:r>
      <w:r w:rsidRPr="009C0656">
        <w:rPr>
          <w:i/>
          <w:iCs/>
        </w:rPr>
        <w:t>SWL</w:t>
      </w:r>
      <w:r w:rsidRPr="009C0656">
        <w:t xml:space="preserve"> are generally constrained by their examination format, yet particular passages generate considerable affective force through their treatment of historical and bodily suffering. This is clearest in the arithmetic problems centred on the ‘uncle’ of Fard (1934</w:t>
      </w:r>
      <w:r w:rsidR="00344E0C" w:rsidRPr="009C0656">
        <w:t>, The Problem Book, Problem 6</w:t>
      </w:r>
      <w:r w:rsidRPr="009C0656">
        <w:t xml:space="preserve">). The problems document physical illness in clinical detail: ‘He had fever, headaches, chills, grippe [...] pains in all joints [...] His pulse beat more than eighty-eight times per </w:t>
      </w:r>
      <w:proofErr w:type="gramStart"/>
      <w:r w:rsidRPr="009C0656">
        <w:t>minute,</w:t>
      </w:r>
      <w:proofErr w:type="gramEnd"/>
      <w:r w:rsidRPr="009C0656">
        <w:t xml:space="preserve"> therefore, he goes to the doctor every day’ (ibid.). By rendering bodily deterioration in the detached language of a mathematics textbook, the passage transforms chronic illness among the Depression-era Black poor into a calculable exercise in medication and cost. The form resultantly gives precise expression to suffering that might otherwise remain diffuse, reinforcing the movement’s claim that Black deprivation constitutes an intelligible and measurable condition. The </w:t>
      </w:r>
      <w:r w:rsidRPr="009C0656">
        <w:rPr>
          <w:i/>
          <w:iCs/>
        </w:rPr>
        <w:t>SWL</w:t>
      </w:r>
      <w:r w:rsidRPr="009C0656">
        <w:t xml:space="preserve"> conveys historical trauma </w:t>
      </w:r>
      <w:r w:rsidR="0030200D" w:rsidRPr="009C0656">
        <w:t xml:space="preserve">indirectly </w:t>
      </w:r>
      <w:r w:rsidRPr="009C0656">
        <w:t>through its instructional form.</w:t>
      </w:r>
    </w:p>
    <w:p w14:paraId="3C288370" w14:textId="17F505F7" w:rsidR="002F182E" w:rsidRPr="009C0656" w:rsidRDefault="00283255" w:rsidP="009C0656">
      <w:pPr>
        <w:spacing w:line="360" w:lineRule="auto"/>
        <w:jc w:val="both"/>
      </w:pPr>
      <w:r w:rsidRPr="009C0656">
        <w:t xml:space="preserve">The </w:t>
      </w:r>
      <w:r w:rsidRPr="009C0656">
        <w:rPr>
          <w:i/>
          <w:iCs/>
        </w:rPr>
        <w:t>FCTI</w:t>
      </w:r>
      <w:r w:rsidRPr="009C0656">
        <w:t xml:space="preserve">, by contrast, addresses a wider public through more explicit emotional appeals. Across its accessible issues, the newspaper mobilises moral urgency, protective anger, gratitude, and testimonial joy. Protective anger appears in appeals to women readers, including the warning that white civilisation ‘desires to see you and your beautiful daughters made prostitutes and diseased creatures, before the nations’ (E. Muhammad, 1934b). The passage mobilises fear concerning women’s and daughters’ vulnerability through a collective racial frame, extending the threat beyond individual safety. Gratitude and testimonial joy appear in reader contributions such as John Mohammed’s (1934) declaration: ‘I am </w:t>
      </w:r>
      <w:r w:rsidRPr="009C0656">
        <w:lastRenderedPageBreak/>
        <w:t xml:space="preserve">happy to give </w:t>
      </w:r>
      <w:proofErr w:type="spellStart"/>
      <w:r w:rsidRPr="009C0656">
        <w:t>honor</w:t>
      </w:r>
      <w:proofErr w:type="spellEnd"/>
      <w:r w:rsidRPr="009C0656">
        <w:t xml:space="preserve"> to the great Prophet Fard [...] How happy am I, to think over the great things that were done by him.’ Such testimony models the emotional experience the movement associates with conversion for readers who have not yet joined. Its placement alongside denunciation and apocalyptic warnings demonstrates how the </w:t>
      </w:r>
      <w:r w:rsidRPr="009C0656">
        <w:rPr>
          <w:i/>
          <w:iCs/>
        </w:rPr>
        <w:t>FCTI</w:t>
      </w:r>
      <w:r w:rsidRPr="009C0656">
        <w:t xml:space="preserve"> could accommodate different affective registers </w:t>
      </w:r>
      <w:r w:rsidR="00194065" w:rsidRPr="009C0656">
        <w:t>in</w:t>
      </w:r>
      <w:r w:rsidRPr="009C0656">
        <w:t xml:space="preserve"> a single publication. Sharrieff’s account of hearing Fard preach, when he ‘didn’t want to eat dinner’ and ‘just want[ed] to go back to the meetings’, provides a further indication of the intensity of this response, with the newspaper’s testimonial discourse subsequently giving more stylised form to such experiences (Beynon, 1938, p. 896).</w:t>
      </w:r>
    </w:p>
    <w:p w14:paraId="4E62F3AF" w14:textId="128CD714" w:rsidR="00D6645B" w:rsidRPr="009C0656" w:rsidRDefault="005A22C8" w:rsidP="009C0656">
      <w:pPr>
        <w:spacing w:line="360" w:lineRule="auto"/>
        <w:jc w:val="both"/>
      </w:pPr>
      <w:r w:rsidRPr="009C0656">
        <w:t>The movement’s affective strategy was therefore genre-differentiated. Each textual form calibrated emotional appeal to its particular relationship between speaker, audience, and communicative purpose.</w:t>
      </w:r>
    </w:p>
    <w:p w14:paraId="05A3DF80" w14:textId="5C874978" w:rsidR="0076108A" w:rsidRPr="009C0656" w:rsidRDefault="0076108A" w:rsidP="009C0656">
      <w:pPr>
        <w:pStyle w:val="TNRHeading3"/>
        <w:spacing w:line="360" w:lineRule="auto"/>
        <w:jc w:val="both"/>
        <w:rPr>
          <w:color w:val="auto"/>
        </w:rPr>
      </w:pPr>
      <w:r w:rsidRPr="009C0656">
        <w:rPr>
          <w:color w:val="auto"/>
        </w:rPr>
        <w:t>Logos</w:t>
      </w:r>
    </w:p>
    <w:p w14:paraId="2835857B" w14:textId="43C67570" w:rsidR="005F109C" w:rsidRPr="009C0656" w:rsidRDefault="005F109C" w:rsidP="009C0656">
      <w:pPr>
        <w:spacing w:line="360" w:lineRule="auto"/>
        <w:jc w:val="both"/>
      </w:pPr>
      <w:r w:rsidRPr="009C0656">
        <w:t xml:space="preserve">The nomination rhetoric examined in the diagnostic framing demonstrated </w:t>
      </w:r>
      <w:r w:rsidR="00E32D2A" w:rsidRPr="009C0656">
        <w:t>how</w:t>
      </w:r>
      <w:r w:rsidRPr="009C0656">
        <w:t xml:space="preserve"> pseudo-scientific measurement served </w:t>
      </w:r>
      <w:r w:rsidR="00E32D2A" w:rsidRPr="009C0656">
        <w:t>to relocate</w:t>
      </w:r>
      <w:r w:rsidR="00680A1A" w:rsidRPr="009C0656">
        <w:t xml:space="preserve"> </w:t>
      </w:r>
      <w:r w:rsidRPr="009C0656">
        <w:t>racial value without abandoning the biological classifications. The logos strategy examines the method through which the movement</w:t>
      </w:r>
      <w:r w:rsidR="006C1B80" w:rsidRPr="009C0656">
        <w:t>’</w:t>
      </w:r>
      <w:r w:rsidRPr="009C0656">
        <w:t>s claims were rhetorically validated. Fard and Elijah construct an entire apparatus of calculation and dialogic examination that stages the movement</w:t>
      </w:r>
      <w:r w:rsidR="006C1B80" w:rsidRPr="009C0656">
        <w:t>’</w:t>
      </w:r>
      <w:r w:rsidRPr="009C0656">
        <w:t>s teaching as a form of knowledge production superior in rigour to the education it displaced. Rationality becomes a contested resource which the NOI actively sought to occupy.</w:t>
      </w:r>
    </w:p>
    <w:p w14:paraId="284E7988" w14:textId="659A238C" w:rsidR="005F109C" w:rsidRPr="009C0656" w:rsidRDefault="00FB0872" w:rsidP="009C0656">
      <w:pPr>
        <w:spacing w:line="360" w:lineRule="auto"/>
        <w:jc w:val="both"/>
      </w:pPr>
      <w:r w:rsidRPr="009C0656">
        <w:t xml:space="preserve">Fard (1934) opens the </w:t>
      </w:r>
      <w:r w:rsidRPr="009C0656">
        <w:rPr>
          <w:i/>
          <w:iCs/>
        </w:rPr>
        <w:t>SWL</w:t>
      </w:r>
      <w:r w:rsidRPr="009C0656">
        <w:t xml:space="preserve"> with the section ‘Actual Facts’, which presents numbered statements concerning the earth’s circumference, the area of its oceans, the height of Mount Everest, and the speed of light and sound. These figures are verifiable, or approximately so, according to contemporary geography and physics, including the scientific standards that the movement elsewhere condemns as instruments of the devil’s civilisation. Positioned at the beginning of the instructional sequence, they establish the text’s authority through demonstrable knowledge. This credibility is subsequently extended to less verifiable claims concerning the population of the Original Nation, the weight of the earth, and the six-hundred-year process of racial grafting. The same numbered and declarative format carries the reader from established facts into cosmological claims without marking a change in epistemic </w:t>
      </w:r>
      <w:r w:rsidR="001B0FA2" w:rsidRPr="009C0656">
        <w:t>space</w:t>
      </w:r>
      <w:r w:rsidRPr="009C0656">
        <w:t>, creating a rhetorical transfer of credibility between them.</w:t>
      </w:r>
    </w:p>
    <w:p w14:paraId="65991292" w14:textId="3426E6D5" w:rsidR="005F109C" w:rsidRPr="009C0656" w:rsidRDefault="00DC7995" w:rsidP="009C0656">
      <w:pPr>
        <w:spacing w:line="360" w:lineRule="auto"/>
        <w:jc w:val="both"/>
      </w:pPr>
      <w:r w:rsidRPr="009C0656">
        <w:t xml:space="preserve">The </w:t>
      </w:r>
      <w:r w:rsidR="00791F75" w:rsidRPr="009C0656">
        <w:t>‘</w:t>
      </w:r>
      <w:r w:rsidRPr="009C0656">
        <w:t>Problem Book</w:t>
      </w:r>
      <w:r w:rsidR="00791F75" w:rsidRPr="009C0656">
        <w:t>’</w:t>
      </w:r>
      <w:r w:rsidRPr="009C0656">
        <w:t xml:space="preserve"> develops this appeal to reason by requiring readers to perform calculations themselves. In the lion parable, the accompanying question asks: ‘How long will it take him to cover this territory of said three thousand by two thousand miles at the above walking rate?’ (ibid.</w:t>
      </w:r>
      <w:r w:rsidR="00042437" w:rsidRPr="009C0656">
        <w:t xml:space="preserve">, </w:t>
      </w:r>
      <w:r w:rsidR="00A91B4A" w:rsidRPr="009C0656">
        <w:t>Problem Book, Problem 31</w:t>
      </w:r>
      <w:r w:rsidRPr="009C0656">
        <w:t xml:space="preserve">). Solving the problem produces a numerical answer while simultaneously reinforcing the doctrine that the Original Man, after a prolonged period of captivity, is advancing rapidly towards liberation through the movement’s teaching. The calculation creates an experience of personal verification. Although the doctrinal conclusion is predetermined, the reader encounters it through an </w:t>
      </w:r>
      <w:r w:rsidRPr="009C0656">
        <w:lastRenderedPageBreak/>
        <w:t>activity that resembles independent discovery, giving the teaching an experiential form of logical confirmation.</w:t>
      </w:r>
    </w:p>
    <w:p w14:paraId="3C6A65C6" w14:textId="0987D2C6" w:rsidR="005F109C" w:rsidRPr="009C0656" w:rsidRDefault="00791F75" w:rsidP="009C0656">
      <w:pPr>
        <w:spacing w:line="360" w:lineRule="auto"/>
        <w:jc w:val="both"/>
      </w:pPr>
      <w:r w:rsidRPr="009C0656">
        <w:t>‘</w:t>
      </w:r>
      <w:r w:rsidR="005F109C" w:rsidRPr="009C0656">
        <w:t>English Lesson C-1</w:t>
      </w:r>
      <w:r w:rsidRPr="009C0656">
        <w:t>’</w:t>
      </w:r>
      <w:r w:rsidR="005F109C" w:rsidRPr="009C0656">
        <w:t xml:space="preserve"> similarly models logical questioning in place of stating doctrine. The text takes the form of a scripted dialogue where the student</w:t>
      </w:r>
      <w:r w:rsidR="006C1B80" w:rsidRPr="009C0656">
        <w:t>’</w:t>
      </w:r>
      <w:r w:rsidR="005F109C" w:rsidRPr="009C0656">
        <w:t>s answer prompts the teacher</w:t>
      </w:r>
      <w:r w:rsidR="006C1B80" w:rsidRPr="009C0656">
        <w:t>’</w:t>
      </w:r>
      <w:r w:rsidR="005F109C" w:rsidRPr="009C0656">
        <w:t xml:space="preserve">s next question: </w:t>
      </w:r>
      <w:r w:rsidR="006C1B80" w:rsidRPr="009C0656">
        <w:t>‘</w:t>
      </w:r>
      <w:r w:rsidR="005F109C" w:rsidRPr="009C0656">
        <w:t xml:space="preserve">Why does he like the Devil? Because the Devil put fear in him [...] Why does he fear, now </w:t>
      </w:r>
      <w:proofErr w:type="gramStart"/>
      <w:r w:rsidR="005F109C" w:rsidRPr="009C0656">
        <w:t>[...] ?</w:t>
      </w:r>
      <w:proofErr w:type="gramEnd"/>
      <w:r w:rsidR="005F109C" w:rsidRPr="009C0656">
        <w:tab/>
        <w:t xml:space="preserve"> Because the Devil taught him to eat the wrong food</w:t>
      </w:r>
      <w:r w:rsidR="006C1B80" w:rsidRPr="009C0656">
        <w:t>’</w:t>
      </w:r>
      <w:r w:rsidR="005F109C" w:rsidRPr="009C0656">
        <w:t xml:space="preserve"> (</w:t>
      </w:r>
      <w:r w:rsidR="00EF73A2" w:rsidRPr="009C0656">
        <w:t>ibid.</w:t>
      </w:r>
      <w:r w:rsidR="00F90604" w:rsidRPr="009C0656">
        <w:t>, English Lesson No. C-1, Questions 7–10</w:t>
      </w:r>
      <w:r w:rsidR="005F109C" w:rsidRPr="009C0656">
        <w:t>). This format mirrors Socratic questioning, where understanding is drawn out step by step. Back-and-forth dialogue was widely seen as the mark of real critical thinking, enabling a rhetorical power and an educational privilege that was denied to many of the movement</w:t>
      </w:r>
      <w:r w:rsidR="006C1B80" w:rsidRPr="009C0656">
        <w:t>’</w:t>
      </w:r>
      <w:r w:rsidR="005F109C" w:rsidRPr="009C0656">
        <w:t xml:space="preserve">s converts. While the answers themselves are fixed and memorised beforehand, the conversational structure makes the learning feel like a process of active reasoning. </w:t>
      </w:r>
    </w:p>
    <w:p w14:paraId="58CF24A3" w14:textId="3D48652F" w:rsidR="005F109C" w:rsidRPr="009C0656" w:rsidRDefault="00155FB0" w:rsidP="009C0656">
      <w:pPr>
        <w:spacing w:line="360" w:lineRule="auto"/>
        <w:jc w:val="both"/>
      </w:pPr>
      <w:r w:rsidRPr="009C0656">
        <w:t>Fard’s (ibid.</w:t>
      </w:r>
      <w:r w:rsidR="00010350" w:rsidRPr="009C0656">
        <w:t xml:space="preserve">, </w:t>
      </w:r>
      <w:r w:rsidR="00681448" w:rsidRPr="009C0656">
        <w:t xml:space="preserve">The Problem Book, </w:t>
      </w:r>
      <w:r w:rsidR="002B4901" w:rsidRPr="009C0656">
        <w:t>P</w:t>
      </w:r>
      <w:r w:rsidR="00010350" w:rsidRPr="009C0656">
        <w:t>roblem 13</w:t>
      </w:r>
      <w:r w:rsidRPr="009C0656">
        <w:t xml:space="preserve">) </w:t>
      </w:r>
      <w:r w:rsidR="005F109C" w:rsidRPr="009C0656">
        <w:t xml:space="preserve">declaration: </w:t>
      </w:r>
      <w:r w:rsidR="006C1B80" w:rsidRPr="009C0656">
        <w:t>‘</w:t>
      </w:r>
      <w:r w:rsidR="005F109C" w:rsidRPr="009C0656">
        <w:t>Mathematics, which is Islam, and Islam is Mathematics, it stands true,</w:t>
      </w:r>
      <w:r w:rsidR="006C1B80" w:rsidRPr="009C0656">
        <w:t>’</w:t>
      </w:r>
      <w:r w:rsidR="005F109C" w:rsidRPr="009C0656">
        <w:t xml:space="preserve"> reveals how </w:t>
      </w:r>
      <w:r w:rsidRPr="009C0656">
        <w:t xml:space="preserve">the movement </w:t>
      </w:r>
      <w:r w:rsidR="005F109C" w:rsidRPr="009C0656">
        <w:t>understood its own logical strategy. Equating Islam with mathematics essentially meant claiming that theological ideas carry the same absolute certainty as basic arithmetic. This would make the belief system objective and unchangeable. There is clear intention here; during an era when mainstream scientific racism used measurements and eugenics to frame Black inferiority as objective fact, the NOI adopted a similar standard of mathematical rigor. As appears customary for the NOI, the dominant culture is met on its own intellectual ground, and the movement refuses to let its beliefs be dismissed as mere superstition or emotional faith. Rationality was thus reclaimed from what was once a tool used by the racial establishment to justify oppression, now repurposed by those denied the capacity to reason. The method of the argument reinforces its message, using the framework of logic to reverse the surrounding racial hierarchy.</w:t>
      </w:r>
    </w:p>
    <w:p w14:paraId="1DBD548A" w14:textId="77777777" w:rsidR="005F109C" w:rsidRPr="009C0656" w:rsidRDefault="005F109C" w:rsidP="009C0656">
      <w:pPr>
        <w:spacing w:line="360" w:lineRule="auto"/>
        <w:jc w:val="both"/>
      </w:pPr>
    </w:p>
    <w:p w14:paraId="2E3223E9" w14:textId="77777777" w:rsidR="00D6645B" w:rsidRPr="009C0656" w:rsidRDefault="00D6645B" w:rsidP="009C0656">
      <w:pPr>
        <w:spacing w:line="360" w:lineRule="auto"/>
        <w:jc w:val="both"/>
      </w:pPr>
    </w:p>
    <w:p w14:paraId="08568A0C" w14:textId="51B8B7A2" w:rsidR="00EE02D0" w:rsidRPr="009C0656" w:rsidRDefault="00EE02D0" w:rsidP="009C0656">
      <w:pPr>
        <w:spacing w:line="360" w:lineRule="auto"/>
        <w:jc w:val="both"/>
      </w:pPr>
      <w:r w:rsidRPr="009C0656">
        <w:br w:type="page"/>
      </w:r>
    </w:p>
    <w:p w14:paraId="0E0A91E6" w14:textId="138DFF21" w:rsidR="00423D43" w:rsidRPr="009C0656" w:rsidRDefault="00423D43" w:rsidP="009C0656">
      <w:pPr>
        <w:pStyle w:val="TNRHeading2"/>
        <w:spacing w:line="360" w:lineRule="auto"/>
        <w:jc w:val="both"/>
        <w:rPr>
          <w:color w:val="auto"/>
        </w:rPr>
      </w:pPr>
      <w:r w:rsidRPr="009C0656">
        <w:rPr>
          <w:color w:val="auto"/>
        </w:rPr>
        <w:lastRenderedPageBreak/>
        <w:t>The Foundational Transition</w:t>
      </w:r>
    </w:p>
    <w:p w14:paraId="0104D8E3" w14:textId="1D59773B" w:rsidR="00423D43" w:rsidRPr="009C0656" w:rsidRDefault="00423D43" w:rsidP="009C0656">
      <w:pPr>
        <w:spacing w:line="360" w:lineRule="auto"/>
        <w:jc w:val="both"/>
      </w:pPr>
      <w:r w:rsidRPr="009C0656">
        <w:t>Period 1 records a single leadership transition, from Fard to Elijah Muhammad, yet its analytical significance extends beyond the succession event itself because the transition confronted a contradiction embedded within the movement’s cosmological order. Fard’s authority rested upon his claim to be Allah present in person, rendering charisma inseparable from the embodied individual who constituted its source. Authority founded on such a claim could not, within its own ontological premises, be transferred straightforwardly to another individual without generating a corresponding crisis of legitimacy. The central problem of succession was therefore how a movement whose sacred authority had been concentrated in the physical presence of an incarnate God could survive the disappearance of that presence in 1934 while retaining organisational coherence and without assigning divinity to a new claimant. The mechanism through which this problem was provisionally resolved was charismatic recall, understood here as the systematic invocation and amplification of an absent founder whose authority could be retrospectively stabilised and reproduced within the organisation. Since this was the movement’s first succession, the transition from Fard to Elijah establishes the initial conditions against which the subsequent leadership transitions examined in Periods 2 and 3 can be evaluated.</w:t>
      </w:r>
    </w:p>
    <w:p w14:paraId="748D2BB8" w14:textId="1368DAC7" w:rsidR="00423D43" w:rsidRPr="009C0656" w:rsidRDefault="00423D43" w:rsidP="009C0656">
      <w:pPr>
        <w:pStyle w:val="TNRHeading3"/>
        <w:spacing w:line="360" w:lineRule="auto"/>
        <w:jc w:val="both"/>
        <w:rPr>
          <w:color w:val="auto"/>
        </w:rPr>
      </w:pPr>
      <w:r w:rsidRPr="009C0656">
        <w:rPr>
          <w:color w:val="auto"/>
        </w:rPr>
        <w:t>Leadership Authority</w:t>
      </w:r>
    </w:p>
    <w:p w14:paraId="4CE232D9" w14:textId="3BE1D7A9" w:rsidR="00423D43" w:rsidRPr="009C0656" w:rsidRDefault="00423D43" w:rsidP="009C0656">
      <w:pPr>
        <w:spacing w:line="360" w:lineRule="auto"/>
        <w:jc w:val="both"/>
      </w:pPr>
      <w:r w:rsidRPr="009C0656">
        <w:t>Leadership authority began to migrate towards Elijah before Fard’s disappearance made the transfer irreversible, and the two surviving letters provide empirical traces of this transition while it remained incomplete. Fard’s (1933a) correspondence adopts a warm and reassuring register, combining personal encouragement with the promise of deferred reward, yet the same correspondence indicates an increasingly intensive supervisory relationship. The December letter opens with an explicit rebuke, as Fard (1933b) states that he holds ‘numbers of records of charges against’ Elijah concerning ‘unofficial movements’, including an unauthorised journey to Birmingham, while repeatedly instructing him to act only with certainty and within sanctioned timing. Fard therefore retained control over the temporal and normative conditions under which action could be considered legitimate, even as Elijah was already travelling and preaching with sufficient independence to require correction. The correspondence consequently registers a transitional configuration in which Elijah had begun to exercise agential authority while Fard still claimed the power to delimit its permissible scope.</w:t>
      </w:r>
    </w:p>
    <w:p w14:paraId="63A582CC" w14:textId="2A376709" w:rsidR="00423D43" w:rsidRPr="009C0656" w:rsidRDefault="00423D43" w:rsidP="009C0656">
      <w:pPr>
        <w:spacing w:line="360" w:lineRule="auto"/>
        <w:jc w:val="both"/>
      </w:pPr>
      <w:r w:rsidRPr="009C0656">
        <w:t xml:space="preserve">The public institutional counterpart to this private supervision was Elijah’s installation as minister, which Sahib (1995 [1951], pp. 72–73) reconstructs from Elijah’s own testimony. After Elijah was challenged over his criticism of another minister, Fard assembled the followers, positioned Elijah before them, and subjected him to a test of doctrinal fidelity: ‘Now, if you would teach, tell me what </w:t>
      </w:r>
      <w:proofErr w:type="gramStart"/>
      <w:r w:rsidRPr="009C0656">
        <w:t>would you</w:t>
      </w:r>
      <w:proofErr w:type="gramEnd"/>
      <w:r w:rsidRPr="009C0656">
        <w:t xml:space="preserve"> do?’ Elijah replied that he would teach what Fard had instructed him (ibid.). Fard subsequently identified him before the assembly as ‘the man that I want […] someone who teaches what I tell him</w:t>
      </w:r>
      <w:proofErr w:type="gramStart"/>
      <w:r w:rsidRPr="009C0656">
        <w:t>’ and</w:t>
      </w:r>
      <w:proofErr w:type="gramEnd"/>
      <w:r w:rsidRPr="009C0656">
        <w:t xml:space="preserve"> authorised him to teach on that basis (ibid.). The commission also established a mechanism for </w:t>
      </w:r>
      <w:r w:rsidRPr="009C0656">
        <w:lastRenderedPageBreak/>
        <w:t xml:space="preserve">regulating interpretation, since Elijah was instructed not only to ‘teach what I tell you’, but also to ‘go down there and take notes of all what Abdul </w:t>
      </w:r>
      <w:proofErr w:type="spellStart"/>
      <w:r w:rsidRPr="009C0656">
        <w:t>says’</w:t>
      </w:r>
      <w:proofErr w:type="spellEnd"/>
      <w:r w:rsidRPr="009C0656">
        <w:t xml:space="preserve"> (ibid., p. 73). His authority was therefore constituted through faithful transmission and the monitoring of rival interpretation. The relevant qualification was a demonstrated capacity to subordinate independent judgement to authorised knowledge, and that qualification was publicly established before the membership whose recognition rendered the commission socially operative. Audience recognition was incorporated into the process through which leadership authority was constituted.</w:t>
      </w:r>
    </w:p>
    <w:p w14:paraId="5B3E64FC" w14:textId="6F09AF74" w:rsidR="00423D43" w:rsidRPr="009C0656" w:rsidRDefault="00423D43" w:rsidP="009C0656">
      <w:pPr>
        <w:spacing w:line="360" w:lineRule="auto"/>
        <w:jc w:val="both"/>
      </w:pPr>
      <w:r w:rsidRPr="009C0656">
        <w:t>The embodied asymmetry between founder and successor remained visible within Elijah’s earliest preaching performances. When Elijah first preached in Fard’s presence, he recalled being ‘a little kind of bashful […] because he was sitting there’, prompting Fard to tell him, ‘Don’t think of me; go ahead, go ahead’ (ibid., p. 73). In retrospect, Elijah further recalled that when speaking before followers in Fard’s absence he ‘could go very strong because I did not see him sitting behind me’ (ibid., p. 74). This testimony identifies an emergent mechanism of succession before succession itself had occurred. Elijah’s communicative authority was already capable of operating with greater force when the founder was physically absent, while Fard’s presence continued to regulate and authorise the conditions under which that authority could be exercised. Fard’s disappearance transformed an existing latent configuration into a durable organisational condition.</w:t>
      </w:r>
    </w:p>
    <w:p w14:paraId="542F2000" w14:textId="03EA456F" w:rsidR="00423D43" w:rsidRPr="009C0656" w:rsidRDefault="00423D43" w:rsidP="009C0656">
      <w:pPr>
        <w:spacing w:line="360" w:lineRule="auto"/>
        <w:jc w:val="both"/>
      </w:pPr>
      <w:r w:rsidRPr="009C0656">
        <w:t xml:space="preserve">This staged subordination defined Elijah’s leadership through custodianship. By specifying the successor’s legitimacy as a function of faithful custody, the movement could convert Fard’s personalised charisma into an authority capable of transmission without requiring the successor to reproduce the founder’s ontological status. Fard’s withdrawal accelerated this process. By the mid-1930s, the movement possessed sufficient organisational capacity to operate without his continuous presence, while Fard was ‘appearing almost never to his followers during the last year of his residence in Detroit’ (ibid., p. 58). Institutional authority had consequently begun to sediment before any formal succession was publicly declared. The federal seizure of a complete copy of the </w:t>
      </w:r>
      <w:r w:rsidRPr="009C0656">
        <w:rPr>
          <w:i/>
          <w:iCs/>
        </w:rPr>
        <w:t>Lessons</w:t>
      </w:r>
      <w:r w:rsidRPr="009C0656">
        <w:t xml:space="preserve"> from Elijah’s residence in 1942 provides a further material trace of this consolidation, demonstrating that within a decade of Fard’s disappearance, control over a foundational textual archive had become materially concentrated in the successor’s possession. The authority structure thereby moved from a personally embodied claim towards an institutionally anchored and textually mediated form in which Elijah’s legitimacy depended upon his position as custodian of knowledge whose original author was no longer physically available to confirm, qualify, or contest its interpretation.</w:t>
      </w:r>
    </w:p>
    <w:p w14:paraId="1C37CD10" w14:textId="75181C2A" w:rsidR="00423D43" w:rsidRPr="009C0656" w:rsidRDefault="00423D43" w:rsidP="009C0656">
      <w:pPr>
        <w:pStyle w:val="TNRHeading3"/>
        <w:spacing w:line="360" w:lineRule="auto"/>
        <w:jc w:val="both"/>
        <w:rPr>
          <w:color w:val="auto"/>
        </w:rPr>
      </w:pPr>
      <w:r w:rsidRPr="009C0656">
        <w:rPr>
          <w:color w:val="auto"/>
        </w:rPr>
        <w:t>Rhetorical Trajectory</w:t>
      </w:r>
    </w:p>
    <w:p w14:paraId="7C028093" w14:textId="6EA3B3D6" w:rsidR="00423D43" w:rsidRPr="009C0656" w:rsidRDefault="00423D43" w:rsidP="009C0656">
      <w:pPr>
        <w:spacing w:line="360" w:lineRule="auto"/>
        <w:jc w:val="both"/>
      </w:pPr>
      <w:r w:rsidRPr="009C0656">
        <w:t xml:space="preserve">The transformation in leadership authority was reproduced within the movement’s rhetoric, generating a shift from an embodied ethos grounded in Fard’s physical presence towards an authenticated ethos grounded in Elijah’s relationship to inherited revelation. Fard’s self-presentation depended upon </w:t>
      </w:r>
      <w:r w:rsidRPr="009C0656">
        <w:lastRenderedPageBreak/>
        <w:t>controlled disclosure and a revelation whose completion remained deferred, such that the full significance of his presence remained partly suspended in a future that only continued embodiment could disclose (Bontemps and Conroy, 1945, p. 178). His disappearance therefore removed the immediate source through which that revelatory horizon could be completed. Elijah responded by reconstructing authority through claims of reception and transmission that positioned him as the authorised interpreter of an established body of knowledge. At the 1936 Saviours Day address, for example, he presents himself as the conduit through which received knowledge enters the public sphere: ‘it is a pleasure for me to teach and make known to all of my kind here that which I have received from our SAVIOUR MASTER W. D. FARD MUHAMMAD’ (E. Muhammad, 1936). Receipt and authorised disclosure consequently become recurrent features of Elijah’s rhetoric, providing a discursive basis through which authority could survive the disappearance of its original bearer.</w:t>
      </w:r>
    </w:p>
    <w:p w14:paraId="60B1733A" w14:textId="786A2425" w:rsidR="00423D43" w:rsidRPr="009C0656" w:rsidRDefault="00423D43" w:rsidP="009C0656">
      <w:pPr>
        <w:spacing w:line="360" w:lineRule="auto"/>
        <w:jc w:val="both"/>
      </w:pPr>
      <w:r w:rsidRPr="009C0656">
        <w:t xml:space="preserve">Frame extension is likewise visible in the movement’s treatment of Fard’s prophetic status, as a cosmological claim initially embedded within a limited communicative environment was progressively directed towards a wider public readership. The </w:t>
      </w:r>
      <w:r w:rsidRPr="009C0656">
        <w:rPr>
          <w:i/>
          <w:iCs/>
        </w:rPr>
        <w:t>FCTI</w:t>
      </w:r>
      <w:r w:rsidRPr="009C0656">
        <w:t xml:space="preserve"> announces in its masthead that ‘PROPHET FARD MOHAMMED IS OUR DELIVERER BY PROPHECY OF THE BIBLE AND QURAN’, while contributors other than Elijah reproduce and elaborate the claim (E. Muhammad, 1934a). Wali Mohammed (1934), for example, presents Fard as ‘the Holy one of ARABIA, prophesied to come in these last days’ who ‘has really come’. The prophetic frame thus moves beyond the immediate instructional environment associated with Fard and becomes a publicly circulating interpretive claim. The treatment of Fard’s divinity within Elijah’s 1936 address demonstrates a further process of frame amplification. Fard’s (1933a) recorded language towards converts had remained within relational and honorific forms, whereas Elijah’s (1936) rhetoric develops the implication into a categorical cosmological assertion through repeated identification of the Saviour as one ‘Born […] to give Freedom’ and as ‘The Lord of the Worlds’, alongside the declaration that ‘There is no God […] in the Earth, nor in the Heavens Above the Earth.’ This amplification was consequential because it occurred after Fard’s disappearance. The successor could stabilise the founder’s divine status at the point when the founder was no longer physically present to modify, qualify, or withdraw the interpretation. Charismatic recall operated as a mechanism of doctrinal closure, converting an implication associated with embodied authority into a more fixed proposition under successor control.</w:t>
      </w:r>
    </w:p>
    <w:p w14:paraId="63BE0F81" w14:textId="44A46390" w:rsidR="00423D43" w:rsidRPr="009C0656" w:rsidRDefault="00423D43" w:rsidP="009C0656">
      <w:pPr>
        <w:spacing w:line="360" w:lineRule="auto"/>
        <w:jc w:val="both"/>
      </w:pPr>
      <w:r w:rsidRPr="009C0656">
        <w:t xml:space="preserve">Despite these transformations in ethos and rhetorical authority, the movement’s logos remained substantially continuous across the succession. The same system of teachings persisted from the </w:t>
      </w:r>
      <w:r w:rsidRPr="009C0656">
        <w:rPr>
          <w:i/>
          <w:iCs/>
        </w:rPr>
        <w:t>Lessons</w:t>
      </w:r>
      <w:r w:rsidRPr="009C0656">
        <w:t xml:space="preserve"> into the </w:t>
      </w:r>
      <w:r w:rsidRPr="009C0656">
        <w:rPr>
          <w:i/>
          <w:iCs/>
        </w:rPr>
        <w:t>FCTI</w:t>
      </w:r>
      <w:r w:rsidRPr="009C0656">
        <w:t xml:space="preserve"> and Elijah’s addresses, even as the institutional and communicative form through which that knowledge circulated underwent significant change. Fard’s teachings survived within occasional handwritten correspondence addressed to a single recipient, whereas Elijah’s teaching appeared as a standing weekly serial published under his own name and title as Minister of Islam in North America (E. Muhammad, 1934a–d). The succession entailed a reconstitution of rhetorical authority around the </w:t>
      </w:r>
      <w:r w:rsidRPr="009C0656">
        <w:lastRenderedPageBreak/>
        <w:t>founder’s absence while preserving the substantive doctrinal framework inherited from Fard. What changed most consequentially was the location and mode of authorised transmission.</w:t>
      </w:r>
    </w:p>
    <w:p w14:paraId="148DE7CA" w14:textId="5CEC9782" w:rsidR="00423D43" w:rsidRPr="009C0656" w:rsidRDefault="00423D43" w:rsidP="009C0656">
      <w:pPr>
        <w:pStyle w:val="TNRHeading3"/>
        <w:spacing w:line="360" w:lineRule="auto"/>
        <w:jc w:val="both"/>
        <w:rPr>
          <w:color w:val="auto"/>
        </w:rPr>
      </w:pPr>
      <w:r w:rsidRPr="009C0656">
        <w:rPr>
          <w:color w:val="auto"/>
        </w:rPr>
        <w:t>Doctrinal and Organisational Realignment</w:t>
      </w:r>
    </w:p>
    <w:p w14:paraId="1E01B8E5" w14:textId="026CF18E" w:rsidR="00423D43" w:rsidRPr="009C0656" w:rsidRDefault="00423D43" w:rsidP="009C0656">
      <w:pPr>
        <w:spacing w:line="360" w:lineRule="auto"/>
        <w:jc w:val="both"/>
      </w:pPr>
      <w:r w:rsidRPr="009C0656">
        <w:t xml:space="preserve">The most consequential doctrinal question of the period concerns whether Fard explicitly taught that he was Allah in the flesh or whether that formulation was consolidated only after his departure. Elijah does not recall Fard publicly proclaiming his own divinity. Instead, he describes the conclusion as a retrospective discovery: ‘When Fard left he gave me a list of 150 books to read. When I began to </w:t>
      </w:r>
      <w:proofErr w:type="gramStart"/>
      <w:r w:rsidRPr="009C0656">
        <w:t>read</w:t>
      </w:r>
      <w:proofErr w:type="gramEnd"/>
      <w:r w:rsidRPr="009C0656">
        <w:t xml:space="preserve"> I have detected […] that Fard was Allah himself incarnated’ (Sahib, 1995 [1951], p. 75). The temporal sequence is explicit, since Elijah states, ‘At that time I realized his intention why he was asking me insistently to read the Koran. It was just to know who he was’ (ibid., p. 74). The resulting conviction is likewise characterised as distinct from ordinary interpersonal confidence, being ‘not the kind of confidence a man has in another man […] but the blind confidence of a worshipper in his God’ (ibid.). Fard’s divine status was articulated after his physical departure and subsequently transformed into public catechism. The doctrinal completion of the succession consequently depended upon a successor capable of interpreting the founder in his absence. Elijah’s authority rested partly upon his capacity to convert inherited knowledge into a settled theological proposition, thereby transforming Fard from an absent charismatic figure into a doctrinally stabilised object of devotion.</w:t>
      </w:r>
    </w:p>
    <w:p w14:paraId="1212BD26" w14:textId="5B69BFFC" w:rsidR="00423D43" w:rsidRPr="009C0656" w:rsidRDefault="00423D43" w:rsidP="009C0656">
      <w:pPr>
        <w:spacing w:line="360" w:lineRule="auto"/>
        <w:jc w:val="both"/>
      </w:pPr>
      <w:r w:rsidRPr="009C0656">
        <w:t xml:space="preserve">Organisational realignment followed the same broader process of consolidation. Much of the movement’s institutional structure had been constructed during Fard’s leadership, while the succession redistributed interpretive and material control over those established forms. Elijah’s own account makes this concentration of custody explicit: ‘I have gathered all of this knowledge and printed because it was so good’ (ibid.). The restrictive law governing the timing and legitimacy of action consequently became a practical prerogative exercised by Elijah, as reflected in Fard’s Rule 10 (F. Muhammad, 1934). The transfer of authority operated through the occupation of institutional positions and the control of inherited knowledge rather than through the creation of an entirely new organisational architecture. This realignment also possessed a geographical dimension. When rivalry among Detroit’s ministers rendered Elijah’s continued residence there untenable, he ‘changed his residence to Chicago and appointed a minister for the small group in Detroit’, thereby relocating the movement’s operational centre away from Fard’s principal site of ministry (Sahib, 1995 [1951], p. 61). Spatial relocation functioned as an agential mechanism through which inherited institutions could be </w:t>
      </w:r>
      <w:proofErr w:type="spellStart"/>
      <w:r w:rsidRPr="009C0656">
        <w:t>reanchored</w:t>
      </w:r>
      <w:proofErr w:type="spellEnd"/>
      <w:r w:rsidRPr="009C0656">
        <w:t xml:space="preserve"> around the successor. Organisational continuity was preserved through the redistribution of control over an existing structure.</w:t>
      </w:r>
    </w:p>
    <w:p w14:paraId="379BB3F4" w14:textId="70314099" w:rsidR="00423D43" w:rsidRPr="009C0656" w:rsidRDefault="00423D43" w:rsidP="009C0656">
      <w:pPr>
        <w:pStyle w:val="TNRHeading3"/>
        <w:spacing w:line="360" w:lineRule="auto"/>
        <w:jc w:val="both"/>
        <w:rPr>
          <w:color w:val="auto"/>
        </w:rPr>
      </w:pPr>
      <w:r w:rsidRPr="009C0656">
        <w:rPr>
          <w:color w:val="auto"/>
        </w:rPr>
        <w:t>Audience Response</w:t>
      </w:r>
    </w:p>
    <w:p w14:paraId="7C3801B6" w14:textId="4414E181" w:rsidR="00423D43" w:rsidRPr="009C0656" w:rsidRDefault="00423D43" w:rsidP="009C0656">
      <w:pPr>
        <w:spacing w:line="360" w:lineRule="auto"/>
        <w:jc w:val="both"/>
      </w:pPr>
      <w:r w:rsidRPr="009C0656">
        <w:t xml:space="preserve">The succession was not uniformly accepted, and the pattern of contestation provides evidence of the uneven social reception through which the new authority structure was consolidated. Sahib (ibid., p. </w:t>
      </w:r>
      <w:r w:rsidRPr="009C0656">
        <w:lastRenderedPageBreak/>
        <w:t xml:space="preserve">58) records that Fard’s first minister, Abdul Mohammed, ‘began to teach against’ Fard in an effort to assume leadership over the group himself. Independent organisations subsequently emerged under </w:t>
      </w:r>
      <w:proofErr w:type="spellStart"/>
      <w:r w:rsidRPr="009C0656">
        <w:t>Azzim</w:t>
      </w:r>
      <w:proofErr w:type="spellEnd"/>
      <w:r w:rsidRPr="009C0656">
        <w:t xml:space="preserve"> Shah in 1936 and Theodore Rozier in 1938. These formations remained doctrinally conservative, since ‘all of these groups stayed within the same frame of teachings’, while Sahib interprets their emergence as ‘an expression of craving for prestige and leadership among the ministers’ (ibid.). The empirical pattern indicates that contestation could occur within a relatively stable cosmological field, with the principal dispute concerning who possessed legitimate authority to interpret and administer inherited teachings. The succession crisis was concentrated less on the survival of the foundational cosmology than on the distribution of interpretive authority.</w:t>
      </w:r>
    </w:p>
    <w:p w14:paraId="14ABBD54" w14:textId="5B16058E" w:rsidR="00423D43" w:rsidRPr="009C0656" w:rsidRDefault="00423D43" w:rsidP="009C0656">
      <w:pPr>
        <w:spacing w:line="360" w:lineRule="auto"/>
        <w:jc w:val="both"/>
      </w:pPr>
      <w:r w:rsidRPr="009C0656">
        <w:t>Other adherents responded to the same uncertainty by extending the realignment more decisively in Elijah’s favour. Followers who remained aligned with him while maintaining Fard’s teachings identified themselves as ‘The People of the Temple’ and ‘went to an extreme in identifying the prophet, Fard, with God’. As ‘Fard has been deified’, they also ‘raised to the rank of prophet’ the former minister Elijah, revering him as ‘the messenger or the Apostle’ (ibid., pp. 59–60). The audience, through its own classificatory and devotional practices, participated in consolidating the authority structure that linked the divinised founder to the elevated successor. In Chicago, Elijah reported that most followers became ‘hypocrites’, with ‘over 75 percent of them’ classified in this way by 1935, prompting his movement through Milwaukee, Madison, and eventually Washington, D.C. (ibid., p. 61). The schism originated when Elijah’s younger brother asked permission for someone to copy whatever was said in the ministers’ class, a request that Elijah ‘emphatically refused’ (ibid.). The dispute concerned access to the reproduction of teaching, making textual custody a central site through which succession was materially secured. Control over copying determined who could reproduce authorised knowledge and consequently who could participate in transmitting the movement’s doctrinal inheritance.</w:t>
      </w:r>
    </w:p>
    <w:p w14:paraId="3FC64759" w14:textId="3639E17E" w:rsidR="00423D43" w:rsidRPr="009C0656" w:rsidRDefault="00423D43" w:rsidP="009C0656">
      <w:pPr>
        <w:spacing w:line="360" w:lineRule="auto"/>
        <w:jc w:val="both"/>
      </w:pPr>
      <w:r w:rsidRPr="009C0656">
        <w:t>A substantial segment of the founding constituency withheld recognition from Elijah’s interpretive authority while retaining substantial attachment to Fard’s cosmology. Those who remained constituted a narrower constituency whose loyalty to the successor was correspondingly concentrated. The resulting structure illustrates a recurrent feature of succession under charismatic conditions</w:t>
      </w:r>
      <w:r w:rsidR="003A4DD7" w:rsidRPr="009C0656">
        <w:t>, whereby</w:t>
      </w:r>
      <w:r w:rsidRPr="009C0656">
        <w:t xml:space="preserve"> authority can persist through doctrinal continuity even while its organisational constituency contracts. The movement’s treatment of defection further reveals the discursive mechanism through which dissent was processed. Internal disagreement was classified as hypocrisy rather than as an ordinary dispute over legitimate succession, translating a political and organisational question into a theological category concerning fidelity to Allah. The same interpretive field through which external hostility was incorporated into the movement’s diagnostic account could absorb internal uncertainty as evidence of corruption. Charismatic recall thus possessed a recursive quality, since doubts directed towards Elijah could be represented as failures of fidelity to the founder whose authority Elijah claimed to preserve.</w:t>
      </w:r>
    </w:p>
    <w:p w14:paraId="427113F2" w14:textId="3BBAA16E" w:rsidR="00423D43" w:rsidRPr="009C0656" w:rsidRDefault="00423D43" w:rsidP="009C0656">
      <w:pPr>
        <w:pStyle w:val="TNRHeading3"/>
        <w:spacing w:line="360" w:lineRule="auto"/>
        <w:jc w:val="both"/>
        <w:rPr>
          <w:color w:val="auto"/>
        </w:rPr>
      </w:pPr>
      <w:r w:rsidRPr="009C0656">
        <w:rPr>
          <w:color w:val="auto"/>
        </w:rPr>
        <w:lastRenderedPageBreak/>
        <w:t>Charismatic Recall as a Transition Mechanism</w:t>
      </w:r>
    </w:p>
    <w:p w14:paraId="172168AE" w14:textId="71932A60" w:rsidR="00423D43" w:rsidRPr="009C0656" w:rsidRDefault="00423D43" w:rsidP="009C0656">
      <w:pPr>
        <w:spacing w:line="360" w:lineRule="auto"/>
        <w:jc w:val="both"/>
      </w:pPr>
      <w:r w:rsidRPr="009C0656">
        <w:t>Weber’s distinction between charismatic and routinised authority provides a useful conceptual basis for understanding why Fard’s charisma, grounded in the claim to be Allah in person, could not simply be inherited by Elijah. The successor’s authority did not derive from an equivalent claim to personal divinity. The corpus contains no record of Elijah presenting himself as divine in the same sense. His authority was instead constructed through the repeated invocation of Fard as the originating source of legitimate knowledge. Charismatic recall functioned as the generative mechanism through which the absent founder could remain causally operative within the movement’s authority structure. This mechanism is visible even within Elijah’s private recollections. During the years in hiding, he reported ‘hearing the voice of Fard, the voice that he knows, warning him and directing him to save his life from the enemies who were seeking him’ (ibid., p. 74). Fard’s physical absence was retrospectively incorporated into the basis of his continuing authority. Once the founder was no longer available to revise his teachings or contest interpretations attributed to him, Elijah possessed greater scope to present subsequent doctrinal claims as faithful transmission of an already authorised legacy. Absence consequently generated a condition under which charismatic authority could become increasingly fixed through retrospective narration.</w:t>
      </w:r>
    </w:p>
    <w:p w14:paraId="227F0A81" w14:textId="52075EA8" w:rsidR="00423D43" w:rsidRPr="009C0656" w:rsidRDefault="00423D43" w:rsidP="009C0656">
      <w:pPr>
        <w:spacing w:line="360" w:lineRule="auto"/>
        <w:jc w:val="both"/>
      </w:pPr>
      <w:r w:rsidRPr="009C0656">
        <w:t>Two implications follow for the later periods of the movement’s history. First, charismatic recall helps explain why contested succession did not produce an equivalent rupture in the foundational cosmology. As Elijah’s legitimacy was publicly articulated through recall of Fard, rejection of Elijah could be discursively rendered as rejection of Fard, imposing a significant interpretive cost upon adherents who continued to affirm the founder’s authority. This mechanism helps account for the persistence of foundational teachings across surviving schismatic formations despite organisational fragmentation. Second, the succession establishes an analytical model against which subsequent leadership transitions can be evaluated. The foundational transition was secured through the transfer of custodial authority, the retrospective stabilisation of doctrine, and the mobilisation of audience recognition around an absent founder whose charisma could be recalled. Later transitions can be assessed in relation to this established pattern. Where subsequent leaders reproduce its mechanisms, the continuity demonstrates the durability of the foundational succession logic. Where they depart from it, the departure becomes an empirical indicator of a transformed relationship between charismatic authority and collective framing.</w:t>
      </w:r>
    </w:p>
    <w:p w14:paraId="03489F80" w14:textId="77777777" w:rsidR="0086143A" w:rsidRDefault="0086143A">
      <w:pPr>
        <w:rPr>
          <w:rFonts w:eastAsiaTheme="majorEastAsia" w:cstheme="majorBidi"/>
          <w:bCs/>
          <w:sz w:val="32"/>
          <w:szCs w:val="32"/>
        </w:rPr>
      </w:pPr>
      <w:r>
        <w:br w:type="page"/>
      </w:r>
    </w:p>
    <w:p w14:paraId="47201403" w14:textId="141BA92D" w:rsidR="000410B8" w:rsidRPr="009C0656" w:rsidRDefault="000410B8" w:rsidP="009C0656">
      <w:pPr>
        <w:pStyle w:val="TNRHeading2"/>
        <w:spacing w:line="360" w:lineRule="auto"/>
        <w:jc w:val="both"/>
        <w:rPr>
          <w:color w:val="auto"/>
        </w:rPr>
      </w:pPr>
      <w:r w:rsidRPr="009C0656">
        <w:rPr>
          <w:color w:val="auto"/>
        </w:rPr>
        <w:lastRenderedPageBreak/>
        <w:t xml:space="preserve">State Surveillance </w:t>
      </w:r>
      <w:r w:rsidR="00146322" w:rsidRPr="009C0656">
        <w:rPr>
          <w:color w:val="auto"/>
        </w:rPr>
        <w:t xml:space="preserve">and </w:t>
      </w:r>
      <w:r w:rsidRPr="009C0656">
        <w:rPr>
          <w:color w:val="auto"/>
        </w:rPr>
        <w:t>Frame Contest</w:t>
      </w:r>
    </w:p>
    <w:p w14:paraId="7B26DFDA" w14:textId="77777777" w:rsidR="008B2CCC" w:rsidRPr="009C0656" w:rsidRDefault="008B2CCC" w:rsidP="009C0656">
      <w:pPr>
        <w:pStyle w:val="TNRHeading3"/>
        <w:spacing w:line="360" w:lineRule="auto"/>
        <w:jc w:val="both"/>
        <w:rPr>
          <w:color w:val="auto"/>
        </w:rPr>
      </w:pPr>
      <w:r w:rsidRPr="009C0656">
        <w:rPr>
          <w:color w:val="auto"/>
        </w:rPr>
        <w:t>The Carceral State</w:t>
      </w:r>
    </w:p>
    <w:p w14:paraId="1D66ADF3" w14:textId="6C10C4C8" w:rsidR="008B2CCC" w:rsidRPr="009C0656" w:rsidRDefault="006D611D" w:rsidP="009C0656">
      <w:pPr>
        <w:spacing w:line="360" w:lineRule="auto"/>
        <w:jc w:val="both"/>
      </w:pPr>
      <w:r w:rsidRPr="009C0656">
        <w:t xml:space="preserve">In the immediate aftermath of emancipation, the criminal justice system became a continuing mechanism of racial and economic control, contributing to the formation of a carceral state. From slavery emerged institutional attempts to reproduce its mechanisms of social control and forced labour extraction. This process began with the Black Codes, which laid the statutory groundwork for vagrancy prosecution and convict leasing while establishing debt peonage. As Cohen (1976, p. 31) observes, ‘The Thirteenth Amendment formally ended slavery, but the legacy of bondage proved stubbornly persistent.’ Following the ratification of the amendment, which permitted involuntary servitude as punishment for a crime, Southern states enacted the Black Codes alongside convict leasing, transforming the expanding prison system into a mechanism for re-enslaving Black labour and restoring conditions of enforced racial subjugation. These statutes drew legitimacy from a perception widely held among the white population of the newly emancipated as a threatening mass. White elites presumed freed people racially incapable of managing their own labour and attributed to them only a fragile allegiance to lawful authority (ibid., p. 34). This perception </w:t>
      </w:r>
      <w:r w:rsidR="00551BE0" w:rsidRPr="009C0656">
        <w:t>helped supply</w:t>
      </w:r>
      <w:r w:rsidRPr="009C0656">
        <w:t xml:space="preserve"> the ideological warrant for criminalising the freed person’s existence outside white supervision.</w:t>
      </w:r>
    </w:p>
    <w:p w14:paraId="072C1195" w14:textId="2E650E1B" w:rsidR="008B2CCC" w:rsidRPr="009C0656" w:rsidRDefault="006D611D" w:rsidP="009C0656">
      <w:pPr>
        <w:spacing w:line="360" w:lineRule="auto"/>
        <w:jc w:val="both"/>
      </w:pPr>
      <w:r w:rsidRPr="009C0656">
        <w:t xml:space="preserve">Much of what preceded the fully formed carceral state operated as a comprehensive system of social control extending </w:t>
      </w:r>
      <w:r w:rsidR="00E6028A" w:rsidRPr="009C0656">
        <w:t xml:space="preserve">well </w:t>
      </w:r>
      <w:r w:rsidRPr="009C0656">
        <w:t>beyond the narrow legal definitions of peonage, with state institutions organised around wealth extraction and physical containment. Vagrancy statutes and contract-enforcement laws enabled local authorities to criminalise Black autonomy on grounds including idleness, loitering, unemployment, and at times mere suspicion (Bardes, 2018, p. 85). Vagrancy prosecutions became increasingly widespread when the white economy experienced labour shortages, producing contradictions around the freedom/confinement binary that persisted long after emancipation.</w:t>
      </w:r>
    </w:p>
    <w:p w14:paraId="40AB2D7D" w14:textId="1A87D631" w:rsidR="008B2CCC" w:rsidRPr="009C0656" w:rsidRDefault="00E6028A" w:rsidP="009C0656">
      <w:pPr>
        <w:spacing w:line="360" w:lineRule="auto"/>
        <w:jc w:val="both"/>
      </w:pPr>
      <w:r w:rsidRPr="009C0656">
        <w:t xml:space="preserve">What persisted </w:t>
      </w:r>
      <w:r w:rsidR="00194065" w:rsidRPr="009C0656">
        <w:t>in</w:t>
      </w:r>
      <w:r w:rsidRPr="009C0656">
        <w:t xml:space="preserve"> the white power structure was a proprietary attitude towards Black labour as a collective resource to be appropriated at will, an attitude Novak (2014, p. 16) locates in ‘the rationale behind the old system [...] in the minds of the now dispossessed slave owners.’ Enticement statutes and emigrant-agent regulations further reinforced this system by penalising those who encouraged or facilitated the geographic or economic mobility of Black workers. In practice, these measures treated the movement of Black labour as a loss to those who depended upon it, reflecting the extent to which labour relations remained shaped by assumptions inherited from slavery. The penal system played a central role in maintaining these arrangements. Through mechanisms such as the criminal-surety system and county chain gangs, incarceration became closely connected to labour extraction, creating significant continuities between the organisation of plantation labour and the operation of the prison system.</w:t>
      </w:r>
    </w:p>
    <w:p w14:paraId="01FCDC45" w14:textId="660718F9" w:rsidR="008B2CCC" w:rsidRPr="009C0656" w:rsidRDefault="00F846AF" w:rsidP="009C0656">
      <w:pPr>
        <w:spacing w:line="360" w:lineRule="auto"/>
        <w:jc w:val="both"/>
      </w:pPr>
      <w:r w:rsidRPr="009C0656">
        <w:lastRenderedPageBreak/>
        <w:t>As the Great Migration commenced in the 1910s, this carceral logic migrated northward and westward with it. Urban centres in the North responded to the influx of Black migrants by expanding police forces. City authorities implemented discretionary vagrancy laws while establishing racially segregated urban spaces, an architecture designed to sweep Black men disproportionately into municipal jails and state penitentiaries, making the prison a central site of Black working-class experience.</w:t>
      </w:r>
    </w:p>
    <w:p w14:paraId="5C9AFDF5" w14:textId="62C3BD18" w:rsidR="008B2CCC" w:rsidRPr="009C0656" w:rsidRDefault="0005008C" w:rsidP="009C0656">
      <w:pPr>
        <w:spacing w:line="360" w:lineRule="auto"/>
        <w:jc w:val="both"/>
      </w:pPr>
      <w:r w:rsidRPr="009C0656">
        <w:t>The state’s weaponisation of surveillance against Black political expression emerged alongside this urban transformation. The Bureau of Investigation, the precursor to the FBI, institutionalised its focus on Black radicalism during the First World War and the Red Scare of 1919 (</w:t>
      </w:r>
      <w:proofErr w:type="spellStart"/>
      <w:r w:rsidRPr="009C0656">
        <w:t>Kornweibel</w:t>
      </w:r>
      <w:proofErr w:type="spellEnd"/>
      <w:r w:rsidRPr="009C0656">
        <w:t xml:space="preserve"> Jr and </w:t>
      </w:r>
      <w:proofErr w:type="spellStart"/>
      <w:r w:rsidRPr="009C0656">
        <w:t>Kornweibel</w:t>
      </w:r>
      <w:proofErr w:type="spellEnd"/>
      <w:r w:rsidRPr="009C0656">
        <w:t xml:space="preserve">, 1998, p. 178), treating assertions of Black self-determination as inherently subversive and placing them </w:t>
      </w:r>
      <w:r w:rsidR="00194065" w:rsidRPr="009C0656">
        <w:t>in</w:t>
      </w:r>
      <w:r w:rsidRPr="009C0656">
        <w:t xml:space="preserve"> the same security framework as organised movements opposed to state order (Schmidt, 2000). The primary target during this early period was Garvey’s UNIA, and the campaign against it established tactics that later movements would encounter in turn, including undercover informants, intelligence dossiers, mail interception, and the strategic use of federal immigration and tax law to remove leaders through ordinary legal processes.</w:t>
      </w:r>
      <w:r w:rsidR="008B2CCC" w:rsidRPr="009C0656">
        <w:tab/>
      </w:r>
    </w:p>
    <w:p w14:paraId="410D975E" w14:textId="4F9D2BBE" w:rsidR="008B2CCC" w:rsidRPr="009C0656" w:rsidRDefault="0005008C" w:rsidP="009C0656">
      <w:pPr>
        <w:spacing w:line="360" w:lineRule="auto"/>
        <w:jc w:val="both"/>
      </w:pPr>
      <w:r w:rsidRPr="009C0656">
        <w:t>This system hardened further as the Depression intensified the racialisation of the justice system. Although less extreme than in the late nineteenth century, Black unemployment was reframed by city administrators and police departments as a disposition towards criminality, and policing grew correspondingly more aggressive. By this point, the overrepresentation of Black men within carceral space constituted an engineered structural reality, an established scheme of state violence forming the baseline against which the NOI’s encounter with the carceral system must be read. This architecture constitutes the generative mechanism, in the domain of the real, underlying the movement’s later entanglement with the prison. The NOI’s subsequent reach into the carceral system encountered a mechanism already built and fully operative before the movement organised any population within it. The FBI’s surveillance mandate during this period extended across the spectrum of Black political organising, from the NAACP’s legal campaign and the Urban League’s reformist programme to the Communist Party’s labour organising among Black workers (Washburn, 1986).</w:t>
      </w:r>
    </w:p>
    <w:p w14:paraId="4174C930" w14:textId="6DD5D9B6" w:rsidR="008B2CCC" w:rsidRPr="009C0656" w:rsidRDefault="0047795F" w:rsidP="009C0656">
      <w:pPr>
        <w:spacing w:line="360" w:lineRule="auto"/>
        <w:jc w:val="both"/>
      </w:pPr>
      <w:r w:rsidRPr="009C0656">
        <w:t>Early clashes with the state established the pattern through which the movement would navigate these tensions for years to come, particularly as it continued to grow despite attempts at suppression. During the 1930s, the NOI’s earliest clashes with the state occurred outside prison walls, chiefly around the establishment of the MUI schools (Sahib, 1995 [1951], p. 11). The state’s refusal to recognise the NOI’s educational autonomy led to the arrest of teachers and parents. This early friction demonstrated how local municipal codes and lower courts were used to police the boundaries of Black religious and educational self-determination well before the federal government turned its attention to the movement directly.</w:t>
      </w:r>
    </w:p>
    <w:p w14:paraId="7417631C" w14:textId="77777777" w:rsidR="00AB6E74" w:rsidRPr="009C0656" w:rsidRDefault="00AB6E74" w:rsidP="009C0656">
      <w:pPr>
        <w:spacing w:line="360" w:lineRule="auto"/>
        <w:jc w:val="both"/>
      </w:pPr>
      <w:r w:rsidRPr="009C0656">
        <w:lastRenderedPageBreak/>
        <w:t>The decade that followed marked the most critical escalation of federal surveillance against the NOI during this early period. With the Second World War, the FBI, operating under expanded wartime intelligence mandates, was tasked with identifying and countering perceived threats to national security, a category into which Black civil rights and anti-war advocacy were increasingly folded. The NOI’s theological rejection of America and the patriotism it demanded made the movement a target on doctrinal grounds alone, a position substantially worsened by members’ refusal to register for the Selective Service, ‘because the NOI did not believe in fighting “White Wars”’ (</w:t>
      </w:r>
      <w:proofErr w:type="spellStart"/>
      <w:r w:rsidRPr="009C0656">
        <w:t>Puchalik</w:t>
      </w:r>
      <w:proofErr w:type="spellEnd"/>
      <w:r w:rsidRPr="009C0656">
        <w:t>, 2026, p. 19; Colley, 2014, p. 401). In 1942, the federal government launched a coordinated crackdown in which Elijah Muhammad and dozens of temple members were arrested on charges of sedition, conspiracy, and draft evasion. Elijah was subsequently incarcerated in the federal penitentiary in Milan, Michigan, until 1946.</w:t>
      </w:r>
    </w:p>
    <w:p w14:paraId="018DC926" w14:textId="0F07083F" w:rsidR="008B2CCC" w:rsidRPr="009C0656" w:rsidRDefault="00034BB0" w:rsidP="009C0656">
      <w:pPr>
        <w:spacing w:line="360" w:lineRule="auto"/>
        <w:jc w:val="both"/>
      </w:pPr>
      <w:r w:rsidRPr="009C0656">
        <w:t>By incarcerating the leadership and much of the core membership, the federal government inadvertently shifted a primary site of NOI mobilisation into the carceral system. The population Elijah encountered at Milan had already lived through the conditions traced above. Attributing this shared condition to a single, named enemy carried immediate appeal for men who understood themselves as casualties of a legal system organised against them. Elijah’s theology offered incarcerated men a doctrine of guaranteed rights grounded in the claim of restored divinity. As descendants of the Tribe of Shabazz and members of the Original Man’s nation, converts held a status theologically incompatible with their present confinement and were taught that redemption remained available to them regardless of the state’s judgement (F. Muhammad, 1934</w:t>
      </w:r>
      <w:r w:rsidR="00424017" w:rsidRPr="009C0656">
        <w:t>, Student Enrolment</w:t>
      </w:r>
      <w:r w:rsidRPr="009C0656">
        <w:t xml:space="preserve">). This doctrine </w:t>
      </w:r>
      <w:r w:rsidR="00C56B85" w:rsidRPr="009C0656">
        <w:t xml:space="preserve">reportedly </w:t>
      </w:r>
      <w:r w:rsidRPr="009C0656">
        <w:t xml:space="preserve">became visible in the comportment of NOI converts </w:t>
      </w:r>
      <w:r w:rsidR="00194065" w:rsidRPr="009C0656">
        <w:t>across</w:t>
      </w:r>
      <w:r w:rsidRPr="009C0656">
        <w:t xml:space="preserve"> the prison population, who </w:t>
      </w:r>
      <w:r w:rsidR="00C56B85" w:rsidRPr="009C0656">
        <w:t xml:space="preserve">are described as having </w:t>
      </w:r>
      <w:r w:rsidRPr="009C0656">
        <w:t xml:space="preserve">distinguished themselves in speech and bearing from other Black prisoners. Organised along the disciplined, hierarchical lines already established by the FOI in the Detroit temples, NOI converts inside prisons were elevated into a cohesive political unit, one of the few organisations permitted sustained activity </w:t>
      </w:r>
      <w:r w:rsidR="00194065" w:rsidRPr="009C0656">
        <w:t>in</w:t>
      </w:r>
      <w:r w:rsidRPr="009C0656">
        <w:t xml:space="preserve"> the prison. </w:t>
      </w:r>
      <w:r w:rsidR="00551BE0" w:rsidRPr="009C0656">
        <w:t xml:space="preserve">That organisational base </w:t>
      </w:r>
      <w:r w:rsidR="00A97F51" w:rsidRPr="009C0656">
        <w:t>l</w:t>
      </w:r>
      <w:r w:rsidRPr="009C0656">
        <w:t>aid groundwork for the post-war prison movement with which the NOI would become closely associated (</w:t>
      </w:r>
      <w:proofErr w:type="spellStart"/>
      <w:r w:rsidRPr="009C0656">
        <w:t>Puchalik</w:t>
      </w:r>
      <w:proofErr w:type="spellEnd"/>
      <w:r w:rsidRPr="009C0656">
        <w:t>, 2026).</w:t>
      </w:r>
    </w:p>
    <w:p w14:paraId="376A55AD" w14:textId="28C1F7BD" w:rsidR="008B2CCC" w:rsidRPr="009C0656" w:rsidRDefault="00034BB0" w:rsidP="009C0656">
      <w:pPr>
        <w:spacing w:line="360" w:lineRule="auto"/>
        <w:jc w:val="both"/>
      </w:pPr>
      <w:r w:rsidRPr="009C0656">
        <w:t>The immediate post-war years leading up to 1951 saw the consolidation of the national security state through the National Security Act of 1947 and the rise of anti-communist containment politics (Hogan, 1998). Although the NOI was explicitly anti-communist, the FBI evaluated Black dissident groups through the lens of subversion and domestic stability, and by 1951 the Bureau had developed counterintelligence frameworks later formalised under the COINTELPRO banner. The state’s posture towards the NOI during this period was marked by an administrative refusal to recognise the movement as a legitimate religion. Federal and state authorities categorised the NOI as a political cult or criminal syndicate operating under a religious façade. This semantic distinction mattered because it allowed prison administrators to justify the denial of religious privileges to Muslim converts.</w:t>
      </w:r>
    </w:p>
    <w:p w14:paraId="1957DE79" w14:textId="2FE1CB15" w:rsidR="00D921A3" w:rsidRPr="009C0656" w:rsidRDefault="00D921A3" w:rsidP="009C0656">
      <w:pPr>
        <w:spacing w:line="360" w:lineRule="auto"/>
        <w:jc w:val="both"/>
      </w:pPr>
      <w:r w:rsidRPr="009C0656">
        <w:lastRenderedPageBreak/>
        <w:t>The causal sequence articulated across this section operates in three distinct phases</w:t>
      </w:r>
      <w:r w:rsidR="007855EE" w:rsidRPr="009C0656">
        <w:t xml:space="preserve">, with </w:t>
      </w:r>
      <w:r w:rsidRPr="009C0656">
        <w:t>the pre-existing carceral mechanism serving as the foundational condition, Elijah’s 1942 conviction and imprisonment acting as the catalytic trigger, and the documented expansion of the NOI organisation within federal penitentiaries providing the empirical trace of its activation.</w:t>
      </w:r>
    </w:p>
    <w:p w14:paraId="0565A166" w14:textId="77777777" w:rsidR="008B2CCC" w:rsidRPr="009C0656" w:rsidRDefault="008B2CCC" w:rsidP="009C0656">
      <w:pPr>
        <w:pStyle w:val="TNRHeading3"/>
        <w:spacing w:line="360" w:lineRule="auto"/>
        <w:jc w:val="both"/>
        <w:rPr>
          <w:color w:val="auto"/>
        </w:rPr>
      </w:pPr>
      <w:r w:rsidRPr="009C0656">
        <w:rPr>
          <w:color w:val="auto"/>
        </w:rPr>
        <w:t>The Securitisation Frame</w:t>
      </w:r>
    </w:p>
    <w:p w14:paraId="773210EB" w14:textId="18EE1BF6" w:rsidR="004B004F" w:rsidRPr="009C0656" w:rsidRDefault="004B004F" w:rsidP="009C0656">
      <w:pPr>
        <w:spacing w:line="360" w:lineRule="auto"/>
        <w:jc w:val="both"/>
      </w:pPr>
      <w:r w:rsidRPr="009C0656">
        <w:t xml:space="preserve">The state’s engagement with the movement generated a distinct external frame addressed to an organisation whose central claims rested on cosmology and prophetic history and could not be adjudicated through ordinary evidentiary procedures. No court or Bureau file could determine whether Fard </w:t>
      </w:r>
      <w:r w:rsidR="00D8348E" w:rsidRPr="009C0656">
        <w:t xml:space="preserve">Muhammad </w:t>
      </w:r>
      <w:r w:rsidRPr="009C0656">
        <w:t>was Allah in the flesh or whether the Tribe of Shabazz predated recorded history. The state instead set these questions aside and assembled an alternative account of the founder from birth certificates, arrest records, newspaper articles, and prison intake forms. This substitution of documentary biography for cosmological claim constituted a form of counter-intelligence frame reduction in which theology was answered through paperwork.</w:t>
      </w:r>
    </w:p>
    <w:p w14:paraId="41EEFD0C" w14:textId="5BA40A5D" w:rsidR="0045313A" w:rsidRPr="009C0656" w:rsidRDefault="00CF4A8E" w:rsidP="009C0656">
      <w:pPr>
        <w:spacing w:line="360" w:lineRule="auto"/>
        <w:jc w:val="both"/>
      </w:pPr>
      <w:r w:rsidRPr="009C0656">
        <w:t xml:space="preserve">Before the FBI’s systematic surveillance of the movement, Beynon’s sociological study, and the federal prosecution of 1942, the terms through which the external world would understand the NOI were established by the 1932 Robert Harris sacrifice case in Detroit. The case provided a catalyst for press and police to construct the ‘Voodoo Cult’ frame, establishing a narrative of spectacular violence that recast the movement as a criminal enterprise. Through selective generalisation, external actors treated an aberrant individual act as revelatory of the organisation’s underlying nature. Press coverage employed moralised language that generated public alarm, while police authorities used the incident to justify intervention and arrests. Detroit newspapers, particularly the </w:t>
      </w:r>
      <w:r w:rsidRPr="009C0656">
        <w:rPr>
          <w:i/>
          <w:iCs/>
        </w:rPr>
        <w:t>Detroit Times</w:t>
      </w:r>
      <w:r w:rsidRPr="009C0656">
        <w:t>, responded to the case, which marked the moment ‘the people of Detroit became conscious of the presence of the cult’ (Beynon, 1938, p. 903). The movement entered public consciousness through spectacular violence, with labels including ‘Voodoo Cult’, ‘fanatical’, and ‘sacrificial religion’ established before sustained engagement with its doctrine or organisational character had occurred.</w:t>
      </w:r>
    </w:p>
    <w:p w14:paraId="086E89E2" w14:textId="6FC90B59" w:rsidR="0045313A" w:rsidRPr="009C0656" w:rsidRDefault="000E2E19" w:rsidP="009C0656">
      <w:pPr>
        <w:spacing w:line="360" w:lineRule="auto"/>
        <w:jc w:val="both"/>
      </w:pPr>
      <w:r w:rsidRPr="009C0656">
        <w:t xml:space="preserve">Individual criminal acts subsequently became evidence of movement-wide criminality, defining the organisation through its most extreme interpretation rather than its broader structures or teachings. Harris’s act represented a deviant reading of the movement’s teachings, yet the external frame absorbed it as evidence of the organisation’s character. Once established, subsequent documentation accumulated </w:t>
      </w:r>
      <w:r w:rsidR="00194065" w:rsidRPr="009C0656">
        <w:t>in</w:t>
      </w:r>
      <w:r w:rsidRPr="009C0656">
        <w:t xml:space="preserve"> this interpretive structure. Beynon’s 1938 article, published six years after the case, acknowledges the sacrifice incidents while subjecting them to sociological explanation. His treatment consequently lent scholarly authority to a frame first established through press and police discourse.</w:t>
      </w:r>
    </w:p>
    <w:p w14:paraId="13AC5262" w14:textId="3F2E72AB" w:rsidR="0045313A" w:rsidRPr="009C0656" w:rsidRDefault="00CE072B" w:rsidP="009C0656">
      <w:pPr>
        <w:spacing w:line="360" w:lineRule="auto"/>
        <w:jc w:val="both"/>
      </w:pPr>
      <w:r w:rsidRPr="009C0656">
        <w:t xml:space="preserve">Elijah’s (1934a) direct response to this labelling provides important evidence of the movement’s awareness of the process: ‘They give it such names as "Cult" and "Voodoo." They say it is a Sacrificial </w:t>
      </w:r>
      <w:r w:rsidRPr="009C0656">
        <w:lastRenderedPageBreak/>
        <w:t xml:space="preserve">Religion, and that it kills its followers.’ The counter-framing appears two years after the Harris case and two years before Beynon’s article, indicating that it responded to a label already circulating through press and police channels. The movement identified its external categorisation as part of a broader process of </w:t>
      </w:r>
      <w:proofErr w:type="spellStart"/>
      <w:r w:rsidRPr="009C0656">
        <w:t>delegitimation</w:t>
      </w:r>
      <w:proofErr w:type="spellEnd"/>
      <w:r w:rsidRPr="009C0656">
        <w:t>, framing it as an expression of the devil’s effort to suppress the truth. This is the earliest and clearest evidence in the corpus that frame contestation was understood internally as a structural feature of the movement’s situation.</w:t>
      </w:r>
    </w:p>
    <w:p w14:paraId="7E5F3375" w14:textId="1F668C18" w:rsidR="008B2CCC" w:rsidRPr="009C0656" w:rsidRDefault="0059679C" w:rsidP="009C0656">
      <w:pPr>
        <w:spacing w:line="360" w:lineRule="auto"/>
        <w:jc w:val="both"/>
      </w:pPr>
      <w:r w:rsidRPr="009C0656">
        <w:t xml:space="preserve">The FBI’s investigation subsequently sought to establish that the movement’s founder was an identifiable individual whose life could be reconstructed through police and prison records alongside administrative filings from several states (FBI, 1957). By linking these records, the Bureau argued that the figure known </w:t>
      </w:r>
      <w:r w:rsidR="00194065" w:rsidRPr="009C0656">
        <w:t>in</w:t>
      </w:r>
      <w:r w:rsidRPr="009C0656">
        <w:t xml:space="preserve"> the NOI under various names was the same individual as a person with a documented criminal history in California who later appeared in Detroit as a religious minister. The file contained inconsistencies, including conflicting accounts of his place of birth, yet these did not alter the Bureau’s broader objective. Its purpose was to replace the movement’s sacred account of its founder with a secular, state-authenticated identity. A documentary narrative establishing Fard as an ordinary, historically traceable individual challenge</w:t>
      </w:r>
      <w:r w:rsidR="000E646C" w:rsidRPr="009C0656">
        <w:t>d</w:t>
      </w:r>
      <w:r w:rsidRPr="009C0656">
        <w:t xml:space="preserve"> the movement’s claims concerning his divine origin and authority, and subsequently its status as a religious movement.</w:t>
      </w:r>
    </w:p>
    <w:p w14:paraId="2545FA47" w14:textId="3FB9B11F" w:rsidR="008B2CCC" w:rsidRPr="009C0656" w:rsidRDefault="0059679C" w:rsidP="009C0656">
      <w:pPr>
        <w:spacing w:line="360" w:lineRule="auto"/>
        <w:jc w:val="both"/>
      </w:pPr>
      <w:r w:rsidRPr="009C0656">
        <w:t>The Bureau consequently supplied a competing origin story assembled from criminal records. A 1963 press exposé drawing on the file described Fard as a manipulative fraudster, while the Bureau’s background summary alleged that, when confronted with the identification, he had admitted that his teaching was ‘strictly a racket’ through which he intended to extract ‘all the money out of it he could’ (ibid.; Montgomery, 1963). This biographical criminalisation of Fard operated cumulatively. Each additional arrest record and alias strengthened an alternative narrative of the founder that required no engagement with the substance of his teaching to be effective.</w:t>
      </w:r>
    </w:p>
    <w:p w14:paraId="50D04993" w14:textId="73F1DEA3" w:rsidR="003E4363" w:rsidRPr="009C0656" w:rsidRDefault="00291276" w:rsidP="009C0656">
      <w:pPr>
        <w:spacing w:line="360" w:lineRule="auto"/>
        <w:jc w:val="both"/>
      </w:pPr>
      <w:r w:rsidRPr="009C0656">
        <w:t xml:space="preserve">This biographical criminalisation also produced a racketeering frame. Beynon (1938, p. 901) records that ‘a sum of money — usually ten dollars — was required to secure the original name’, before concluding that ‘this work must have been extremely profitable to the prophet.’ The fee is interpreted as evidence of commercial exploitation as opposed to what could plausibly be part of the movement’s membership and registration system. The name-transformation practice illustrates the ambiguity involved. It possessed substantial ontological significance for members, whose testimony records its importance, while also establishing a centralised, leader-dependent, fee-based administrative procedure that generated organisational income and maintained a membership register. The racketeering frame foregrounds the financial dimension as the underlying purpose and assigns the ontological dimension to the status of cover. This inversion reflects the perspectival position of the observer. An institutional observer working through economic and legal categories sees the fee and the prophet’s benefit; a </w:t>
      </w:r>
      <w:r w:rsidRPr="009C0656">
        <w:lastRenderedPageBreak/>
        <w:t>member working through ontological and restorative categories sees the recovered name and release from bondage.</w:t>
      </w:r>
    </w:p>
    <w:p w14:paraId="10A7F35F" w14:textId="43C88DB5" w:rsidR="002A0A24" w:rsidRPr="009C0656" w:rsidRDefault="00467584" w:rsidP="009C0656">
      <w:pPr>
        <w:spacing w:line="360" w:lineRule="auto"/>
        <w:jc w:val="both"/>
      </w:pPr>
      <w:r w:rsidRPr="009C0656">
        <w:t xml:space="preserve">Elijah’s 1942 prosecution under the Selective Service Act was significant in part because of its legal basis. A conviction for failing to comply with registration requirements could be secured through an individual’s conduct without requiring a court to determine whether the NOI constituted a legitimate religion or political organisation. The FBI’s file on the movement, opened during the same period, records the prosecution without resolving this wider question of classification (FBI, 1950). The uncertain status of the NOI in relation to religious recognition made such criminal statutes useful to the state because they permitted action without adjudicating the movement’s broader institutional identity. Prosecutors needed to </w:t>
      </w:r>
      <w:r w:rsidR="004A5B52" w:rsidRPr="009C0656">
        <w:t>determine</w:t>
      </w:r>
      <w:r w:rsidRPr="009C0656">
        <w:t xml:space="preserve"> that an individual had failed to meet a statutory obligation.</w:t>
      </w:r>
    </w:p>
    <w:p w14:paraId="61D31620" w14:textId="560B7838" w:rsidR="008B2CCC" w:rsidRPr="009C0656" w:rsidRDefault="00C05C32" w:rsidP="009C0656">
      <w:pPr>
        <w:spacing w:line="360" w:lineRule="auto"/>
        <w:jc w:val="both"/>
      </w:pPr>
      <w:r w:rsidRPr="009C0656">
        <w:t>Alongside this religion-neutral prosecution, the Bureau pursued a broader interpretation, filing the 1942 case under conspiracy and sedition alongside the draft charges and maintaining internal designations that classified Fard and the movement as matters of internal security. This classification translated the movement’s theological hostility to whiteness into a category of external allegiance, construing anti-white cosmology as evidence of loyalty to a foreign power while displacing its explicit address to domestic racial conditions. Nomination and security classification converted an autonomous, self-authorising system of belief into heteronomous case material, in which the movement’s claims about itself became evidence to be classified and incorporated into the state’s own account of what the organisation represented</w:t>
      </w:r>
    </w:p>
    <w:p w14:paraId="7A04C208" w14:textId="77777777" w:rsidR="008B2CCC" w:rsidRPr="009C0656" w:rsidRDefault="008B2CCC" w:rsidP="009C0656">
      <w:pPr>
        <w:pStyle w:val="TNRHeading3"/>
        <w:spacing w:line="360" w:lineRule="auto"/>
        <w:jc w:val="both"/>
        <w:rPr>
          <w:color w:val="auto"/>
        </w:rPr>
      </w:pPr>
      <w:r w:rsidRPr="009C0656">
        <w:rPr>
          <w:color w:val="auto"/>
        </w:rPr>
        <w:t>Surveillance as a Frame Confirmation</w:t>
      </w:r>
    </w:p>
    <w:p w14:paraId="2394A924" w14:textId="0C5EEB2B" w:rsidR="008B2CCC" w:rsidRPr="009C0656" w:rsidRDefault="00604243" w:rsidP="009C0656">
      <w:pPr>
        <w:spacing w:line="360" w:lineRule="auto"/>
        <w:jc w:val="both"/>
      </w:pPr>
      <w:r w:rsidRPr="009C0656">
        <w:t>The</w:t>
      </w:r>
      <w:r w:rsidR="008B2CCC" w:rsidRPr="009C0656">
        <w:t xml:space="preserve"> reductive </w:t>
      </w:r>
      <w:r w:rsidR="00B5388A" w:rsidRPr="009C0656">
        <w:t>mechanism</w:t>
      </w:r>
      <w:r w:rsidR="008B2CCC" w:rsidRPr="009C0656">
        <w:t>, designed to dissolve the movement</w:t>
      </w:r>
      <w:r w:rsidR="006C1B80" w:rsidRPr="009C0656">
        <w:t>’</w:t>
      </w:r>
      <w:r w:rsidR="008B2CCC" w:rsidRPr="009C0656">
        <w:t>s authority, operated within the movement</w:t>
      </w:r>
      <w:r w:rsidR="006C1B80" w:rsidRPr="009C0656">
        <w:t>’</w:t>
      </w:r>
      <w:r w:rsidR="008B2CCC" w:rsidRPr="009C0656">
        <w:t>s own interpretive scheme as confirmation of the diagnosis it sought to discredit. The diagnostic frame had already identified the devil</w:t>
      </w:r>
      <w:r w:rsidR="006C1B80" w:rsidRPr="009C0656">
        <w:t>’</w:t>
      </w:r>
      <w:r w:rsidR="008B2CCC" w:rsidRPr="009C0656">
        <w:t>s civilisation by its instruments. A</w:t>
      </w:r>
      <w:r w:rsidR="00B5388A" w:rsidRPr="009C0656">
        <w:t xml:space="preserve"> mechanism</w:t>
      </w:r>
      <w:r w:rsidR="008B2CCC" w:rsidRPr="009C0656">
        <w:t xml:space="preserve"> that investigates and imprisons under the authority of exactly such instruments of violence and confinement enacts that diagnosis.</w:t>
      </w:r>
    </w:p>
    <w:p w14:paraId="192983DA" w14:textId="4A331353" w:rsidR="008B2CCC" w:rsidRPr="009C0656" w:rsidRDefault="006B75AA" w:rsidP="009C0656">
      <w:pPr>
        <w:spacing w:line="360" w:lineRule="auto"/>
        <w:jc w:val="both"/>
      </w:pPr>
      <w:r w:rsidRPr="009C0656">
        <w:t xml:space="preserve">Elijah had already anticipated this contest years before the Bureau’s most intensive activity, explicitly identifying the ‘Cult’ and ‘Voodoo’ labels as forms of external </w:t>
      </w:r>
      <w:proofErr w:type="spellStart"/>
      <w:r w:rsidRPr="009C0656">
        <w:t>delegitimation</w:t>
      </w:r>
      <w:proofErr w:type="spellEnd"/>
      <w:r w:rsidRPr="009C0656">
        <w:t xml:space="preserve"> (Elijah, 1934a). Beynon’s (1938) ethnographic title, </w:t>
      </w:r>
      <w:r w:rsidRPr="009C0656">
        <w:rPr>
          <w:i/>
          <w:iCs/>
        </w:rPr>
        <w:t>The Voodoo Cult among Negro Migrants in Detroit</w:t>
      </w:r>
      <w:r w:rsidRPr="009C0656">
        <w:t xml:space="preserve">, demonstrates the persistence of this designation </w:t>
      </w:r>
      <w:r w:rsidR="00194065" w:rsidRPr="009C0656">
        <w:t>in</w:t>
      </w:r>
      <w:r w:rsidRPr="009C0656">
        <w:t xml:space="preserve"> subsequent academic discourse. The continuity between these accounts indicates that the label had become established across institutional contexts before sustained engagement with the movement’s doctrine.</w:t>
      </w:r>
    </w:p>
    <w:p w14:paraId="1EB5FB3F" w14:textId="5A7E0B4D" w:rsidR="00252528" w:rsidRPr="009C0656" w:rsidRDefault="00252528" w:rsidP="009C0656">
      <w:pPr>
        <w:spacing w:line="360" w:lineRule="auto"/>
        <w:jc w:val="both"/>
      </w:pPr>
      <w:r w:rsidRPr="009C0656">
        <w:t xml:space="preserve">Elijah’s imprisonment in 1942 further altered the evidentiary basis available to this confirmation. Before 1942, claims of persecution drew on prophetic analogy, including biblical accounts of exile and suffering, which situated the movement </w:t>
      </w:r>
      <w:r w:rsidR="00194065" w:rsidRPr="009C0656">
        <w:t>in</w:t>
      </w:r>
      <w:r w:rsidRPr="009C0656">
        <w:t xml:space="preserve"> a broader history of religious oppression. After 1942, </w:t>
      </w:r>
      <w:r w:rsidRPr="009C0656">
        <w:lastRenderedPageBreak/>
        <w:t>persecution acquired a direct institutional referent through Elijah’s federal indictment, imprisonment, and the circulation of these events within the movement. It became part of the biography of the movement’s leader and therefore of the movement’s own historical memory. The crackdown occurred alongside federal prosecution of other Black nationalist and anti-war formations as part of a wider wartime effort to police the boundaries of acceptable Black political expression.</w:t>
      </w:r>
    </w:p>
    <w:p w14:paraId="68B3F764" w14:textId="22148A0D" w:rsidR="008B2CCC" w:rsidRPr="009C0656" w:rsidRDefault="00252528" w:rsidP="009C0656">
      <w:pPr>
        <w:spacing w:line="360" w:lineRule="auto"/>
        <w:jc w:val="both"/>
      </w:pPr>
      <w:r w:rsidRPr="009C0656">
        <w:t xml:space="preserve">The NOI’s separatist position intensified this conflict because its demands challenged the premise of American civic incorporation on which negotiation with integrationist organisations could operate. The state’s refusal to recognise the NOI as a legitimate religion generated further evidence </w:t>
      </w:r>
      <w:r w:rsidR="00194065" w:rsidRPr="009C0656">
        <w:t>in</w:t>
      </w:r>
      <w:r w:rsidRPr="009C0656">
        <w:t xml:space="preserve"> the movement’s interpretive framework. Confiscated literature, restrictions on worship and religious freedom, and reports of solitary confinement experienced by converts in federal custody became additional instances through which the movement interpreted institutional authority as structurally hostile to Black religious self-determination. Administrative acts intended to delegitimise the movement </w:t>
      </w:r>
      <w:r w:rsidR="000E646C" w:rsidRPr="009C0656">
        <w:t>were</w:t>
      </w:r>
      <w:r w:rsidRPr="009C0656">
        <w:t xml:space="preserve"> then incorporated as evidence for the very diagnosis they were intended to undermine.</w:t>
      </w:r>
    </w:p>
    <w:p w14:paraId="5B26B62E" w14:textId="6926EBDA" w:rsidR="008B2CCC" w:rsidRPr="009C0656" w:rsidRDefault="008B2CCC" w:rsidP="009C0656">
      <w:pPr>
        <w:pStyle w:val="TNRHeading3"/>
        <w:spacing w:line="360" w:lineRule="auto"/>
        <w:jc w:val="both"/>
        <w:rPr>
          <w:color w:val="auto"/>
        </w:rPr>
      </w:pPr>
      <w:r w:rsidRPr="009C0656">
        <w:rPr>
          <w:color w:val="auto"/>
        </w:rPr>
        <w:t>FBI Files</w:t>
      </w:r>
    </w:p>
    <w:p w14:paraId="4D5A1002" w14:textId="307325EE" w:rsidR="00B4049F" w:rsidRPr="009C0656" w:rsidRDefault="00B4049F" w:rsidP="009C0656">
      <w:pPr>
        <w:spacing w:line="360" w:lineRule="auto"/>
        <w:jc w:val="both"/>
      </w:pPr>
      <w:r w:rsidRPr="009C0656">
        <w:t>The Bureau’s files and contemporary press reports, alongside early academic commentary, constitute the broader evidential field of Period 1 frame contestation. Several institutional actors, operating according to different standards and objectives, produced competing constructions of the same organisation. None provides a neutral record against which the movement’s self-presentation can simply be assessed. Each represents an interested position within the framing struggle and must be read as an artefact of that struggle.</w:t>
      </w:r>
    </w:p>
    <w:p w14:paraId="523E9C9F" w14:textId="37DA1B2A" w:rsidR="008B2CCC" w:rsidRPr="009C0656" w:rsidRDefault="001D066B" w:rsidP="009C0656">
      <w:pPr>
        <w:spacing w:line="360" w:lineRule="auto"/>
        <w:jc w:val="both"/>
      </w:pPr>
      <w:r w:rsidRPr="009C0656">
        <w:t xml:space="preserve">Sahib’s (1995 [1951]) study exemplifies an academic perspective in which religion is treated as secondary to the movement’s function as secular protest. His reduction of the NOI’s theological self-understanding to an instrumental response to grievance reflects his own interpretive commitments. Drawing on Whitehead (1926, p. 231), he characterises NOI cosmology as a form of myth satisfying ‘the demand of incipient rationality’, whose ‘general core’ involves ‘the waging of imaginative battle about the status and social destiny of the Negro’. He further describes the movement’s claims to racial exaltation as generating a ‘web of social hypocrisy’ among its audience (Sahib, 1995 [1951], pp. 3, 22). This comprises an academic form of demystification, substituting psychological and sociological categories for the criminal categories used by the state. It parallels Beynon’s (1938) psychological reductionism, which interpreted adherence through migrant maladjustment and emotional crisis. Academic discourse lent disciplinary authority to wider processes of delegitimisation, particularly by interpreting boundary maintenance as cultic isolation. </w:t>
      </w:r>
      <w:r w:rsidR="00D9274B" w:rsidRPr="009C0656">
        <w:t xml:space="preserve">As concluded </w:t>
      </w:r>
      <w:r w:rsidR="00194065" w:rsidRPr="009C0656">
        <w:t>in</w:t>
      </w:r>
      <w:r w:rsidR="00D9274B" w:rsidRPr="009C0656">
        <w:t xml:space="preserve"> </w:t>
      </w:r>
      <w:r w:rsidR="00562526" w:rsidRPr="009C0656">
        <w:t>Sahib</w:t>
      </w:r>
      <w:r w:rsidR="00D9274B" w:rsidRPr="009C0656">
        <w:t>’s</w:t>
      </w:r>
      <w:r w:rsidR="00562526" w:rsidRPr="009C0656">
        <w:t xml:space="preserve"> (</w:t>
      </w:r>
      <w:r w:rsidR="00575AA0" w:rsidRPr="009C0656">
        <w:t>1995 [1951]</w:t>
      </w:r>
      <w:r w:rsidR="0086218A" w:rsidRPr="009C0656">
        <w:t>, p. 52)</w:t>
      </w:r>
      <w:r w:rsidR="00D9274B" w:rsidRPr="009C0656">
        <w:t xml:space="preserve"> article, there is the </w:t>
      </w:r>
      <w:r w:rsidR="00562526" w:rsidRPr="009C0656">
        <w:t>conced</w:t>
      </w:r>
      <w:r w:rsidR="00D9274B" w:rsidRPr="009C0656">
        <w:t xml:space="preserve">ing </w:t>
      </w:r>
      <w:r w:rsidR="00562526" w:rsidRPr="009C0656">
        <w:t xml:space="preserve">that the </w:t>
      </w:r>
      <w:r w:rsidR="006D3EAB" w:rsidRPr="009C0656">
        <w:t>theology of the movement’s</w:t>
      </w:r>
      <w:r w:rsidR="00562526" w:rsidRPr="009C0656">
        <w:t xml:space="preserve"> </w:t>
      </w:r>
      <w:r w:rsidR="006C1B80" w:rsidRPr="009C0656">
        <w:t>‘</w:t>
      </w:r>
      <w:r w:rsidR="00562526" w:rsidRPr="009C0656">
        <w:t>rough-hewn edges</w:t>
      </w:r>
      <w:r w:rsidR="006C1B80" w:rsidRPr="009C0656">
        <w:t>’</w:t>
      </w:r>
      <w:r w:rsidR="00562526" w:rsidRPr="009C0656">
        <w:t xml:space="preserve"> at this early stage </w:t>
      </w:r>
      <w:r w:rsidR="006C1B80" w:rsidRPr="009C0656">
        <w:t>‘</w:t>
      </w:r>
      <w:r w:rsidR="00562526" w:rsidRPr="009C0656">
        <w:t xml:space="preserve">did not mean that religious sentiment was peripheral to its worldview, as evidence clearly attests a </w:t>
      </w:r>
      <w:r w:rsidR="00562526" w:rsidRPr="009C0656">
        <w:lastRenderedPageBreak/>
        <w:t>decade later.</w:t>
      </w:r>
      <w:r w:rsidR="006C1B80" w:rsidRPr="009C0656">
        <w:t>’</w:t>
      </w:r>
      <w:r w:rsidR="00562526" w:rsidRPr="009C0656">
        <w:t xml:space="preserve"> The delegitimising frame he himself deployed </w:t>
      </w:r>
      <w:r w:rsidR="00D9274B" w:rsidRPr="009C0656">
        <w:t xml:space="preserve">therefore </w:t>
      </w:r>
      <w:r w:rsidR="00562526" w:rsidRPr="009C0656">
        <w:t>required correction from within his own account.</w:t>
      </w:r>
    </w:p>
    <w:p w14:paraId="470B6DAE" w14:textId="2691FD86" w:rsidR="008B2CCC" w:rsidRPr="009C0656" w:rsidRDefault="00ED03A8" w:rsidP="009C0656">
      <w:pPr>
        <w:spacing w:line="360" w:lineRule="auto"/>
        <w:jc w:val="both"/>
      </w:pPr>
      <w:r w:rsidRPr="009C0656">
        <w:t>Sahib’s (ibid., p. 70) characterisation of NOI congregants as ‘extremely uncritical’ followers who were ‘highly aroused even when he utters the most nonsensical statement’ further reflects the wider external posture of the period. Across media, state, and academic registers, adherence itself became the object requiring explanation, while the doctrinal content offered by adherents as the basis of their commitment received comparatively limited attention. This convergence demonstrates an asymmetry of definitional authority</w:t>
      </w:r>
      <w:r w:rsidR="007A1A42" w:rsidRPr="009C0656">
        <w:t xml:space="preserve">, as </w:t>
      </w:r>
      <w:r w:rsidRPr="009C0656">
        <w:t xml:space="preserve">state agencies, media organisations, and academic institutions possessed the institutional reach necessary to establish their interpretations </w:t>
      </w:r>
      <w:r w:rsidR="00194065" w:rsidRPr="009C0656">
        <w:t>in</w:t>
      </w:r>
      <w:r w:rsidRPr="009C0656">
        <w:t xml:space="preserve"> the public sphere.</w:t>
      </w:r>
    </w:p>
    <w:p w14:paraId="74A29C97" w14:textId="296F9B46" w:rsidR="00935381" w:rsidRPr="009C0656" w:rsidRDefault="00457EEE" w:rsidP="009C0656">
      <w:pPr>
        <w:spacing w:line="360" w:lineRule="auto"/>
        <w:jc w:val="both"/>
      </w:pPr>
      <w:r w:rsidRPr="009C0656">
        <w:t xml:space="preserve">The press established the sacrifice frame in 1932, giving the movement an early public identity as a criminal cult. Police investigations and arrests in 1933 institutionalised this interpretation, converting press alarm into official categories. Beynon’s 1938 article subsequently supplied scholarly legitimacy to these existing classifications, moving the cult designation from a press label into a sociological category. From 1942 onwards, the FBI’s systematic accumulation of records incorporated these earlier framings into a permanent documentary archive, treating the 1932 cases, Selective Service prosecutions, and academic pathologisation as cumulative evidence </w:t>
      </w:r>
      <w:r w:rsidR="00194065" w:rsidRPr="009C0656">
        <w:t>in</w:t>
      </w:r>
      <w:r w:rsidRPr="009C0656">
        <w:t xml:space="preserve"> a wider threat assessment. By the time Sahib’s study appeared in 1951, these interpretations had acquired the appearance of common sense through their repetition across institutional domains.</w:t>
      </w:r>
    </w:p>
    <w:p w14:paraId="6649D22C" w14:textId="3BB5EB26" w:rsidR="0006425D" w:rsidRPr="009C0656" w:rsidRDefault="00FE36F8" w:rsidP="009C0656">
      <w:pPr>
        <w:spacing w:line="360" w:lineRule="auto"/>
        <w:jc w:val="both"/>
      </w:pPr>
      <w:r w:rsidRPr="009C0656">
        <w:t>The resulting frame contest illustrates how repression can become incorporated into a movement’s own account of its position.</w:t>
      </w:r>
      <w:r w:rsidR="0006425D" w:rsidRPr="009C0656">
        <w:t xml:space="preserve"> The interaction between state surveillance and external pathologisation, which worked alongside movement self-definition, created a co-constitutive dynamic. Coercive state practices intended to dissolve the movement inadvertently validated its foundational claims, while defensive movement adaptations were routinely reinterpreted by external actors as confirmation of security threats.</w:t>
      </w:r>
      <w:r w:rsidR="00D947A2" w:rsidRPr="009C0656">
        <w:t xml:space="preserve"> This dynamic is transfactual</w:t>
      </w:r>
      <w:r w:rsidR="009D3EC7" w:rsidRPr="009C0656">
        <w:t>,</w:t>
      </w:r>
      <w:r w:rsidR="00D947A2" w:rsidRPr="009C0656">
        <w:t xml:space="preserve"> </w:t>
      </w:r>
      <w:r w:rsidR="00D23422" w:rsidRPr="009C0656">
        <w:t xml:space="preserve">identifying </w:t>
      </w:r>
      <w:r w:rsidR="00D947A2" w:rsidRPr="009C0656">
        <w:t>a generative mechanism by which hostile responses become incorporated as confirmatory evidence, not a prediction that could in principle be refuted by a different institutional response.</w:t>
      </w:r>
    </w:p>
    <w:p w14:paraId="3E965467" w14:textId="7B5F17BA" w:rsidR="007219C2" w:rsidRPr="009C0656" w:rsidRDefault="002063E4" w:rsidP="009C0656">
      <w:pPr>
        <w:spacing w:line="360" w:lineRule="auto"/>
        <w:jc w:val="both"/>
      </w:pPr>
      <w:r w:rsidRPr="009C0656">
        <w:t>The external frames examined here also reveal what remained largely absent from institutional accounts.</w:t>
      </w:r>
      <w:r w:rsidR="007219C2" w:rsidRPr="009C0656">
        <w:t xml:space="preserve"> Equally significant, analytically, is what they did not say. A set of alternative frames would have been available to any observer who approached the corpus without those institutional purposes, such as framing the NOI as a rational and coherent response to systematic racial oppression; a successful community organisation producing documented improvements in members</w:t>
      </w:r>
      <w:r w:rsidR="006C1B80" w:rsidRPr="009C0656">
        <w:t>’</w:t>
      </w:r>
      <w:r w:rsidR="007219C2" w:rsidRPr="009C0656">
        <w:t xml:space="preserve"> material conditions; a theologically sophisticated synthesis whose intellectual coherence merited serious engagement on its own terms; or a defensive formation whose paramilitary and secretive character was produced by institutional hostility. </w:t>
      </w:r>
      <w:r w:rsidRPr="009C0656">
        <w:t>Evidence for these interpretations existed within the same documentary record from which threat-oriented frames were constructed.</w:t>
      </w:r>
    </w:p>
    <w:p w14:paraId="2830D8B9" w14:textId="7BCECD39" w:rsidR="007219C2" w:rsidRPr="009C0656" w:rsidRDefault="007219C2" w:rsidP="009C0656">
      <w:pPr>
        <w:spacing w:line="360" w:lineRule="auto"/>
        <w:jc w:val="both"/>
      </w:pPr>
      <w:r w:rsidRPr="009C0656">
        <w:lastRenderedPageBreak/>
        <w:t>The</w:t>
      </w:r>
      <w:r w:rsidR="002063E4" w:rsidRPr="009C0656">
        <w:t>ir</w:t>
      </w:r>
      <w:r w:rsidRPr="009C0656">
        <w:t xml:space="preserve"> suppression </w:t>
      </w:r>
      <w:r w:rsidR="00847B9E" w:rsidRPr="009C0656">
        <w:t xml:space="preserve">is closely related </w:t>
      </w:r>
      <w:r w:rsidRPr="009C0656">
        <w:t>to institutional position. The FBI</w:t>
      </w:r>
      <w:r w:rsidR="006C1B80" w:rsidRPr="009C0656">
        <w:t>’</w:t>
      </w:r>
      <w:r w:rsidRPr="009C0656">
        <w:t xml:space="preserve">s organisational mandate required the identification of threats </w:t>
      </w:r>
      <w:r w:rsidR="00AD11C8" w:rsidRPr="009C0656">
        <w:t>because</w:t>
      </w:r>
      <w:r w:rsidRPr="009C0656">
        <w:t xml:space="preserve"> its categories </w:t>
      </w:r>
      <w:r w:rsidR="00AD11C8" w:rsidRPr="009C0656">
        <w:t xml:space="preserve">were </w:t>
      </w:r>
      <w:r w:rsidRPr="009C0656">
        <w:t>security-relevant and thus its evidence selection had to be structured accordingly. The press</w:t>
      </w:r>
      <w:r w:rsidR="006C1B80" w:rsidRPr="009C0656">
        <w:t>’</w:t>
      </w:r>
      <w:r w:rsidRPr="009C0656">
        <w:t>s commercial logic required spectacular incidents, therefore its selection criteria favoured violence</w:t>
      </w:r>
      <w:r w:rsidR="00934E13" w:rsidRPr="009C0656">
        <w:t>. Academic sociology in 1938 often relied on conceptual frameworks centred on adjustment, resulting in categories that reduced complex social experiences to individual psychological responses.</w:t>
      </w:r>
      <w:r w:rsidRPr="009C0656">
        <w:t xml:space="preserve"> None of these institutional actors possessed the definitional authority to recognise the NOI as a rational response to oppression without undermining the premises on which their own institutional functions rested. </w:t>
      </w:r>
      <w:r w:rsidR="00053F6A" w:rsidRPr="009C0656">
        <w:t>The racial hierarchy that organised American social life also organised the epistemological categories through which its institutions categorised challenges to it, serving as an imperial and colonial apparatus that systematically coded Black self-determination as inherent criminality or religious fanaticism.</w:t>
      </w:r>
    </w:p>
    <w:p w14:paraId="74F6FADC" w14:textId="76653C2C" w:rsidR="007219C2" w:rsidRPr="009C0656" w:rsidRDefault="00847B9E" w:rsidP="009C0656">
      <w:pPr>
        <w:spacing w:line="360" w:lineRule="auto"/>
        <w:jc w:val="both"/>
      </w:pPr>
      <w:r w:rsidRPr="009C0656">
        <w:t xml:space="preserve">The frame contest was therefore a struggle over definitional authority between parties occupying radically unequal institutional positions. The NOI’s self-framing achieved internal resonance, yet its ability to contest external definitions depended upon access to the institutions governing legal classification and public discourse. By 1951, these asymmetries had produced a hierarchy of interpretive authority in which the movement’s own account remained largely marginal </w:t>
      </w:r>
      <w:r w:rsidR="00194065" w:rsidRPr="009C0656">
        <w:t>in</w:t>
      </w:r>
      <w:r w:rsidRPr="009C0656">
        <w:t xml:space="preserve"> dominant domains.</w:t>
      </w:r>
    </w:p>
    <w:p w14:paraId="16DD3065" w14:textId="77777777" w:rsidR="007219C2" w:rsidRPr="009C0656" w:rsidRDefault="007219C2" w:rsidP="009C0656">
      <w:pPr>
        <w:spacing w:line="360" w:lineRule="auto"/>
        <w:jc w:val="both"/>
      </w:pPr>
    </w:p>
    <w:p w14:paraId="5B6CACC4" w14:textId="2D9E2E2A" w:rsidR="0085205E" w:rsidRPr="009C0656" w:rsidRDefault="0085205E" w:rsidP="009C0656">
      <w:pPr>
        <w:spacing w:line="360" w:lineRule="auto"/>
        <w:jc w:val="both"/>
      </w:pPr>
    </w:p>
    <w:p w14:paraId="4FF2060E" w14:textId="77777777" w:rsidR="0085205E" w:rsidRPr="009C0656" w:rsidRDefault="0085205E" w:rsidP="009C0656">
      <w:pPr>
        <w:spacing w:line="360" w:lineRule="auto"/>
        <w:jc w:val="both"/>
        <w:rPr>
          <w:rFonts w:eastAsiaTheme="majorEastAsia" w:cstheme="majorBidi"/>
          <w:bCs/>
          <w:sz w:val="32"/>
          <w:szCs w:val="32"/>
        </w:rPr>
      </w:pPr>
      <w:r w:rsidRPr="009C0656">
        <w:br w:type="page"/>
      </w:r>
    </w:p>
    <w:p w14:paraId="7062AE5D" w14:textId="778BDDF1" w:rsidR="00A0141E" w:rsidRPr="009C0656" w:rsidRDefault="005450D2" w:rsidP="009C0656">
      <w:pPr>
        <w:pStyle w:val="TNRHeading2"/>
        <w:spacing w:line="360" w:lineRule="auto"/>
        <w:jc w:val="both"/>
        <w:rPr>
          <w:color w:val="auto"/>
        </w:rPr>
      </w:pPr>
      <w:r w:rsidRPr="009C0656">
        <w:rPr>
          <w:color w:val="auto"/>
        </w:rPr>
        <w:lastRenderedPageBreak/>
        <w:t xml:space="preserve">PROVISIONAL </w:t>
      </w:r>
      <w:r w:rsidR="00E32E12" w:rsidRPr="009C0656">
        <w:rPr>
          <w:color w:val="auto"/>
        </w:rPr>
        <w:t>–</w:t>
      </w:r>
      <w:r w:rsidRPr="009C0656">
        <w:rPr>
          <w:color w:val="auto"/>
        </w:rPr>
        <w:t xml:space="preserve"> Reception</w:t>
      </w:r>
      <w:r w:rsidR="00E32E12" w:rsidRPr="009C0656">
        <w:rPr>
          <w:color w:val="auto"/>
        </w:rPr>
        <w:t xml:space="preserve"> and Interpretation</w:t>
      </w:r>
    </w:p>
    <w:p w14:paraId="0881A4D2" w14:textId="2CEC1F63" w:rsidR="0085205E" w:rsidRPr="009C0656" w:rsidRDefault="00BD02CB" w:rsidP="009C0656">
      <w:pPr>
        <w:spacing w:line="360" w:lineRule="auto"/>
        <w:jc w:val="both"/>
      </w:pPr>
      <w:r w:rsidRPr="009C0656">
        <w:t>[</w:t>
      </w:r>
      <w:r w:rsidR="00AB4A60" w:rsidRPr="009C0656">
        <w:t>To either be given its own section or to be embedded within the analysis above]</w:t>
      </w:r>
    </w:p>
    <w:p w14:paraId="46D7A67F" w14:textId="77777777" w:rsidR="0085205E" w:rsidRPr="009C0656" w:rsidRDefault="0085205E" w:rsidP="009C0656">
      <w:pPr>
        <w:spacing w:line="360" w:lineRule="auto"/>
        <w:jc w:val="both"/>
      </w:pPr>
    </w:p>
    <w:p w14:paraId="62B2BCF8" w14:textId="77777777" w:rsidR="0085205E" w:rsidRPr="009C0656" w:rsidRDefault="0085205E" w:rsidP="009C0656">
      <w:pPr>
        <w:spacing w:line="360" w:lineRule="auto"/>
        <w:jc w:val="both"/>
      </w:pPr>
    </w:p>
    <w:p w14:paraId="0B9493FB" w14:textId="54DAA894" w:rsidR="00EE02D0" w:rsidRPr="009C0656" w:rsidRDefault="00EE02D0" w:rsidP="009C0656">
      <w:pPr>
        <w:spacing w:line="360" w:lineRule="auto"/>
        <w:jc w:val="both"/>
      </w:pPr>
      <w:r w:rsidRPr="009C0656">
        <w:br w:type="page"/>
      </w:r>
    </w:p>
    <w:p w14:paraId="3362BB5B" w14:textId="50B2D46B" w:rsidR="007F14ED" w:rsidRPr="009C0656" w:rsidRDefault="005D27B6" w:rsidP="009C0656">
      <w:pPr>
        <w:pStyle w:val="TNRHeading2"/>
        <w:spacing w:line="360" w:lineRule="auto"/>
        <w:jc w:val="both"/>
        <w:rPr>
          <w:color w:val="auto"/>
        </w:rPr>
      </w:pPr>
      <w:r w:rsidRPr="009C0656">
        <w:rPr>
          <w:color w:val="auto"/>
        </w:rPr>
        <w:lastRenderedPageBreak/>
        <w:t>Conclusion</w:t>
      </w:r>
    </w:p>
    <w:p w14:paraId="4269C60F" w14:textId="77777777" w:rsidR="00BD02CB" w:rsidRPr="009C0656" w:rsidRDefault="00BD02CB" w:rsidP="009C0656">
      <w:pPr>
        <w:spacing w:line="360" w:lineRule="auto"/>
        <w:jc w:val="both"/>
      </w:pPr>
      <w:r w:rsidRPr="009C0656">
        <w:t>The significance of Period 1 lies in the emergence of a movement whose durability was already being built through framing before the NOI had developed the institutional scale it would acquire later. In this early period, framing worked as a form of social reconstruction. The conditions created by racial domination were given an intelligible history and a causal explanation. At the same time, the recovery of an original identity provided members with a different position from which to understand those conditions. The significance of this process was therefore epistemic as well as political. Experiences of material deprivation, racial violence, religious alienation, and social degradation could be understood as connected parts of a common condition. Economic insecurity and religious disaffection, for example, acquired meaning within a wider account of the social order. The condition of the 85% was consequently understood at the level of being itself. Unemployment could be interpreted as engineered non-being, religious disaffiliation as the consequence of epistemic theft, and urban dislocation as a form of exile from an original and divinely ordained selfhood.</w:t>
      </w:r>
    </w:p>
    <w:p w14:paraId="6EE001F7" w14:textId="77777777" w:rsidR="00BD02CB" w:rsidRPr="009C0656" w:rsidRDefault="00BD02CB" w:rsidP="009C0656">
      <w:pPr>
        <w:spacing w:line="360" w:lineRule="auto"/>
        <w:jc w:val="both"/>
      </w:pPr>
      <w:r w:rsidRPr="009C0656">
        <w:t>Several mechanisms within the movement's wider environment helped make this framing possible. The existing Black institutional landscape had limited capacity to articulate the depth of the dislocation experienced by migrants, creating an opening for the NOI's account. Legal ambiguities surrounding religious status also gave the movement a degree of provisional organisational freedom. The movement could draw selectively on existing rhetorical and theological forms, adapting them to its own account of racial domination and Black identity, not as a wholesale replacement of prior Black nationalist and religious movements, but as a synthesis of some of their more potent elements. These conditions helped make the frames offered by the NOI intelligible to its audience and gave them a degree of stability.</w:t>
      </w:r>
    </w:p>
    <w:p w14:paraId="22B85CBD" w14:textId="591787A5" w:rsidR="00BD02CB" w:rsidRPr="009C0656" w:rsidRDefault="00BD02CB" w:rsidP="009C0656">
      <w:pPr>
        <w:spacing w:line="360" w:lineRule="auto"/>
        <w:jc w:val="both"/>
      </w:pPr>
      <w:r w:rsidRPr="009C0656">
        <w:t>This has implications for how frame alignment is understood. Early NOI alignment involved more than connecting existing grievances to an interpretation supplied by the movement. The movement also supplied categories through which those grievances could be recognised and related to one another. Naming the oppressor and restoring the identity of the oppressed altered the significance of experiences that members already possessed. Frame resonance therefore depended partly upon reconstructing the capacity to interpret those experiences as aspects of a common condition. Resonance, not merely diagnostic coherence, is the operative mechanism here</w:t>
      </w:r>
      <w:r w:rsidR="00D25FB4" w:rsidRPr="009C0656">
        <w:t>, since</w:t>
      </w:r>
      <w:r w:rsidRPr="009C0656">
        <w:t xml:space="preserve"> a frame that supplies a compelling account of the world only produces mobilisation if members recognise their own experience within it. The NOI's foundational texts model this recognition directly, presenting reflections from converts on the specific facts that brought them into Islam These accounts function less as testimony in the conventional sense than as demonstrations of a grievance successfully re-narrated in the movement's own terms. Counter-framing and narrative inversion, in this light, were among the movement's most effective mechanisms for building resonance, since they allowed a convert's prior grievance to be re-read as confirmation of the NOI's diagnosis.</w:t>
      </w:r>
    </w:p>
    <w:p w14:paraId="1615D186" w14:textId="77777777" w:rsidR="00BD02CB" w:rsidRPr="009C0656" w:rsidRDefault="00BD02CB" w:rsidP="009C0656">
      <w:pPr>
        <w:spacing w:line="360" w:lineRule="auto"/>
        <w:jc w:val="both"/>
      </w:pPr>
      <w:r w:rsidRPr="009C0656">
        <w:lastRenderedPageBreak/>
        <w:t>The prognostic dimension of this framing extended into institutional and everyday practice. Framing was connected to the ways members were expected to live. Naming practices, the restoration of knowledge, changes in personal names, dietary reform, and organisational discipline operated together with the movement's doctrinal claims. Schools, disciplinary structures, domestic programmes, dietary routines, and economic arrangements gave members repeated opportunities to encounter the movement's interpretation of reality in ordinary life. The resulting durability of the frame was therefore partly produced through repetition. Its claims were encountered in classrooms and households, in physical routines, and through relationships within the organisation. The movement's interpretation of social reality was consequently reproduced through participation itself. This helps explain the durability of the NOI's frames in comparison with movements that did not develop the same degree of institutional reproduction.</w:t>
      </w:r>
    </w:p>
    <w:p w14:paraId="5E13B6CD" w14:textId="77777777" w:rsidR="00BD02CB" w:rsidRPr="009C0656" w:rsidRDefault="00BD02CB" w:rsidP="009C0656">
      <w:pPr>
        <w:spacing w:line="360" w:lineRule="auto"/>
        <w:jc w:val="both"/>
      </w:pPr>
      <w:r w:rsidRPr="009C0656">
        <w:t>The motivational structure of the movement also connected interpretation to time. The existing order was located within a prophetic chronology in which its eventual end was approaching. This gave historical diagnosis a temporal dimension and provided a reason for action in the present. Action became meaningful because members were given an account of why the particular historical moment mattered. The relationship between framing and mobilisation involved the organisation of time as well as the interpretation of social conditions.</w:t>
      </w:r>
    </w:p>
    <w:p w14:paraId="3558CE5C" w14:textId="77777777" w:rsidR="00BD02CB" w:rsidRPr="009C0656" w:rsidRDefault="00BD02CB" w:rsidP="009C0656">
      <w:pPr>
        <w:spacing w:line="360" w:lineRule="auto"/>
        <w:jc w:val="both"/>
      </w:pPr>
      <w:r w:rsidRPr="009C0656">
        <w:t>Leadership was central to this process, although its significance transcends conventional accounts of charismatic authority. From its earliest period, the movement developed an authority structure that could be reproduced beyond the physical presence of an individual leader. Fard's authority was grounded in an ontological claim about his identity and status. Its continuation, however, depended increasingly on textual control and organisational discipline. Elijah Muhammad had already begun developing an apostolic authority before Fard's disappearance. The process of succession began before the formal transfer of leadership, embedded in the production of texts, the training of ministers, the codification of the Lessons, and the development of a leadership structure capable of transmitting authoritative knowledge after Fard was no longer physically present. The subsequent transition involved questions over which of Fard's teachings the emerging organisation could treat as authoritative.</w:t>
      </w:r>
    </w:p>
    <w:p w14:paraId="2AF16AE0" w14:textId="77777777" w:rsidR="00BD02CB" w:rsidRPr="009C0656" w:rsidRDefault="00BD02CB" w:rsidP="009C0656">
      <w:pPr>
        <w:spacing w:line="360" w:lineRule="auto"/>
        <w:jc w:val="both"/>
      </w:pPr>
      <w:r w:rsidRPr="009C0656">
        <w:t>This helps explain why early NOI mobilisation cannot be reduced to charismatic authority. Fard's personal presence was important, while the movement was also developing mechanisms through which authority could continue after his disappearance. Textual repetition, memorised knowledge, organisational discipline, and institutional reproduction allowed an initially person-centred source of authority to acquire organisational continuity. Succession was consequently addressed partly through the institutionalisation of interpretation. This becomes important for the periods that follow, where leadership transition increasingly involves changes in the mechanisms through which authoritative knowledge is established.</w:t>
      </w:r>
    </w:p>
    <w:p w14:paraId="0A9DE9D9" w14:textId="774390DD" w:rsidR="00BD02CB" w:rsidRPr="009C0656" w:rsidRDefault="00BD02CB" w:rsidP="009C0656">
      <w:pPr>
        <w:spacing w:line="360" w:lineRule="auto"/>
        <w:jc w:val="both"/>
      </w:pPr>
      <w:r w:rsidRPr="009C0656">
        <w:lastRenderedPageBreak/>
        <w:t>The external record adds another dimension to this argument. The diagnostic frame was capable of incorporating state hostility into its own interpretation of events. Surveillance and repression acquire</w:t>
      </w:r>
      <w:r w:rsidR="000E646C" w:rsidRPr="009C0656">
        <w:t>d</w:t>
      </w:r>
      <w:r w:rsidRPr="009C0656">
        <w:t xml:space="preserve"> evidentiary significance within the movement's account, since opposition from the state </w:t>
      </w:r>
      <w:r w:rsidR="00037D24" w:rsidRPr="009C0656">
        <w:t xml:space="preserve">was </w:t>
      </w:r>
      <w:r w:rsidRPr="009C0656">
        <w:t>itself interpreted as confirmation of the diagnosis. Contestation consequently involved a struggle over who could define the movement and interpret the conditions from which it had emerged. A perspectival approach is useful here because the same historical circumstances could produce substantially different accounts depending upon the institutional position from which they were understood.</w:t>
      </w:r>
    </w:p>
    <w:p w14:paraId="6720CE78" w14:textId="77777777" w:rsidR="00BD02CB" w:rsidRPr="009C0656" w:rsidRDefault="00BD02CB" w:rsidP="009C0656">
      <w:pPr>
        <w:spacing w:line="360" w:lineRule="auto"/>
        <w:jc w:val="both"/>
      </w:pPr>
      <w:r w:rsidRPr="009C0656">
        <w:t>These findings establish the foundation for the analysis that follows. Leadership transition involves more than a new speaker modifying an existing rhetorical repertoire. Changes in leadership can affect who has the authority to interpret reality, how that interpretation is reproduced within the organisation, and how members understand the historical moment in which action takes place. Period 1 established the authority structures and interpretive practices through which later frames could be inherited, modified, contested, or rejected. The core cosmology, naming practices, and institutional structures such as the FOI, MGT-GCC, and MUI formed part of this foundation. So too did the tendency to interpret repression as confirmation. Knowledge had been organised into a basis for collective identity and action.</w:t>
      </w:r>
    </w:p>
    <w:p w14:paraId="709DCAFA" w14:textId="77777777" w:rsidR="00BD02CB" w:rsidRPr="009C0656" w:rsidRDefault="00BD02CB" w:rsidP="009C0656">
      <w:pPr>
        <w:spacing w:line="360" w:lineRule="auto"/>
        <w:jc w:val="both"/>
      </w:pPr>
      <w:r w:rsidRPr="009C0656">
        <w:t>Frame alignment warrants attention as a process that can reshape the epistemic and institutional conditions under which mobilisation occurs. For movements emerging among populations whose experiences have been systematically misrecognised, framing can involve establishing the categories through which those experiences become intelligible. In this setting, decolonial rhetorical strategies can provide a means of recovering historical agency and redefining the spatial and social terms through which racial domination is understood. The early NOI demonstrates how such categories can become durable when they are connected to organisational authority and incorporated into everyday practice. Period 1 therefore provides the analytical baseline for examining what happens when this interpretive order is confronted by leadership change. The subsequent history of the movement can be understood partly as a struggle over who has the authority to inherit, reinterpret, modify, or reconstruct the world that its founders taught members to see.</w:t>
      </w:r>
    </w:p>
    <w:p w14:paraId="7080BC8C" w14:textId="77777777" w:rsidR="00BD02CB" w:rsidRPr="009C0656" w:rsidRDefault="00BD02CB" w:rsidP="009C0656">
      <w:pPr>
        <w:spacing w:line="360" w:lineRule="auto"/>
        <w:jc w:val="both"/>
      </w:pPr>
      <w:r w:rsidRPr="009C0656">
        <w:t xml:space="preserve">This inheritance provides the analytical hinge between Period 1 and the periods that follow. </w:t>
      </w:r>
    </w:p>
    <w:p w14:paraId="15CE3E13" w14:textId="77777777" w:rsidR="00BD02CB" w:rsidRPr="009C0656" w:rsidRDefault="00BD02CB" w:rsidP="009C0656">
      <w:pPr>
        <w:spacing w:line="360" w:lineRule="auto"/>
        <w:jc w:val="both"/>
      </w:pPr>
      <w:r w:rsidRPr="009C0656">
        <w:t>[To be completed in full upon completion of other period analysis sections]</w:t>
      </w:r>
    </w:p>
    <w:p w14:paraId="4D44961A" w14:textId="7C775BD2" w:rsidR="00D1090A" w:rsidRDefault="00D1090A">
      <w:r>
        <w:br w:type="page"/>
      </w:r>
    </w:p>
    <w:p w14:paraId="0A0A7DD4" w14:textId="002CDA2D" w:rsidR="00BC6524" w:rsidRDefault="00D1090A" w:rsidP="00D1090A">
      <w:pPr>
        <w:pStyle w:val="TNRHeading2"/>
      </w:pPr>
      <w:r>
        <w:lastRenderedPageBreak/>
        <w:t>Bibliography</w:t>
      </w:r>
    </w:p>
    <w:p w14:paraId="600855D3" w14:textId="77777777" w:rsidR="00D1090A" w:rsidRPr="00D1090A" w:rsidRDefault="00D1090A" w:rsidP="004753DD">
      <w:pPr>
        <w:ind w:left="720" w:hanging="720"/>
      </w:pPr>
      <w:r w:rsidRPr="00D1090A">
        <w:t xml:space="preserve">Acevedo, G.A., Ordner, J. and Thompson, M. (2010) ‘Narrative inversion as a tactical framing device: The ideological origins of the Nation of Islam’, </w:t>
      </w:r>
      <w:r w:rsidRPr="00D1090A">
        <w:rPr>
          <w:i/>
          <w:iCs/>
        </w:rPr>
        <w:t>Narrative Inquiry</w:t>
      </w:r>
      <w:r w:rsidRPr="00D1090A">
        <w:t xml:space="preserve">, 20(1), pp. 124–152. Available at: </w:t>
      </w:r>
      <w:hyperlink r:id="rId8" w:history="1">
        <w:r w:rsidRPr="00D1090A">
          <w:rPr>
            <w:rStyle w:val="Hyperlink"/>
          </w:rPr>
          <w:t>https://doi.org/10.1075/ni.20.1.07ace</w:t>
        </w:r>
      </w:hyperlink>
      <w:r w:rsidRPr="00D1090A">
        <w:t>.</w:t>
      </w:r>
    </w:p>
    <w:p w14:paraId="3AD174C4" w14:textId="77777777" w:rsidR="00D1090A" w:rsidRPr="00D1090A" w:rsidRDefault="00D1090A" w:rsidP="004753DD">
      <w:pPr>
        <w:ind w:left="720" w:hanging="720"/>
      </w:pPr>
      <w:r w:rsidRPr="00D1090A">
        <w:t>Akom, A.A. (2003) ‘</w:t>
      </w:r>
      <w:proofErr w:type="spellStart"/>
      <w:r w:rsidRPr="00D1090A">
        <w:t>Reexamining</w:t>
      </w:r>
      <w:proofErr w:type="spellEnd"/>
      <w:r w:rsidRPr="00D1090A">
        <w:t xml:space="preserve"> Resistance as Oppositional </w:t>
      </w:r>
      <w:proofErr w:type="spellStart"/>
      <w:r w:rsidRPr="00D1090A">
        <w:t>Behavior</w:t>
      </w:r>
      <w:proofErr w:type="spellEnd"/>
      <w:r w:rsidRPr="00D1090A">
        <w:t xml:space="preserve">: The Nation of Islam and the Creation of a Black Achievement Ideology’, </w:t>
      </w:r>
      <w:r w:rsidRPr="00D1090A">
        <w:rPr>
          <w:i/>
          <w:iCs/>
        </w:rPr>
        <w:t>Sociology of Education</w:t>
      </w:r>
      <w:r w:rsidRPr="00D1090A">
        <w:t xml:space="preserve">, 76(4), p. 305. Available at: </w:t>
      </w:r>
      <w:hyperlink r:id="rId9" w:history="1">
        <w:r w:rsidRPr="00D1090A">
          <w:rPr>
            <w:rStyle w:val="Hyperlink"/>
          </w:rPr>
          <w:t>https://doi.org/10.2307/1519868</w:t>
        </w:r>
      </w:hyperlink>
      <w:r w:rsidRPr="00D1090A">
        <w:t>.</w:t>
      </w:r>
    </w:p>
    <w:p w14:paraId="10795960" w14:textId="77777777" w:rsidR="00D1090A" w:rsidRPr="00D1090A" w:rsidRDefault="00D1090A" w:rsidP="004753DD">
      <w:pPr>
        <w:ind w:left="720" w:hanging="720"/>
      </w:pPr>
      <w:r w:rsidRPr="00D1090A">
        <w:t xml:space="preserve">Ali, J. (1934) ‘Editorial’, </w:t>
      </w:r>
      <w:r w:rsidRPr="00D1090A">
        <w:rPr>
          <w:i/>
          <w:iCs/>
        </w:rPr>
        <w:t>The Final Call to Islam</w:t>
      </w:r>
      <w:r w:rsidRPr="00D1090A">
        <w:t>, 11 August.</w:t>
      </w:r>
    </w:p>
    <w:p w14:paraId="1A666702" w14:textId="77777777" w:rsidR="00D1090A" w:rsidRPr="00D1090A" w:rsidRDefault="00D1090A" w:rsidP="004753DD">
      <w:pPr>
        <w:ind w:left="720" w:hanging="720"/>
      </w:pPr>
      <w:r w:rsidRPr="00D1090A">
        <w:t xml:space="preserve">Aristotle (2007) </w:t>
      </w:r>
      <w:r w:rsidRPr="00D1090A">
        <w:rPr>
          <w:i/>
          <w:iCs/>
        </w:rPr>
        <w:t>On Rhetoric: A Theory of Civic Discourse</w:t>
      </w:r>
      <w:r w:rsidRPr="00D1090A">
        <w:t>. 2. ed. Edited by G.A. Kennedy. New York: Oxford University Press.</w:t>
      </w:r>
    </w:p>
    <w:p w14:paraId="658A74DE" w14:textId="77777777" w:rsidR="00D1090A" w:rsidRPr="00D1090A" w:rsidRDefault="00D1090A" w:rsidP="004753DD">
      <w:pPr>
        <w:ind w:left="720" w:hanging="720"/>
      </w:pPr>
      <w:r w:rsidRPr="00D1090A">
        <w:t xml:space="preserve">Bardes, J.K. (2018) ‘Redefining Vagrancy: Policing Freedom and Disorder in Reconstruction New Orleans, 1862–1868’, </w:t>
      </w:r>
      <w:r w:rsidRPr="00D1090A">
        <w:rPr>
          <w:i/>
          <w:iCs/>
        </w:rPr>
        <w:t>The Journal of Southern History</w:t>
      </w:r>
      <w:r w:rsidRPr="00D1090A">
        <w:t xml:space="preserve">, 84(1), pp. 69–112. Available at: </w:t>
      </w:r>
      <w:hyperlink r:id="rId10" w:history="1">
        <w:r w:rsidRPr="00D1090A">
          <w:rPr>
            <w:rStyle w:val="Hyperlink"/>
          </w:rPr>
          <w:t>https://doi.org/10.1353/soh.2018.0002</w:t>
        </w:r>
      </w:hyperlink>
      <w:r w:rsidRPr="00D1090A">
        <w:t>.</w:t>
      </w:r>
    </w:p>
    <w:p w14:paraId="0BB24AE2" w14:textId="77777777" w:rsidR="00D1090A" w:rsidRPr="00D1090A" w:rsidRDefault="00D1090A" w:rsidP="004753DD">
      <w:pPr>
        <w:ind w:left="720" w:hanging="720"/>
      </w:pPr>
      <w:r w:rsidRPr="00D1090A">
        <w:t xml:space="preserve">Berg, H. (2005) ‘Mythmaking in the African American Muslim Context: The Moorish Science Temple, the Nation of Islam, and the American Society of Muslims’, </w:t>
      </w:r>
      <w:r w:rsidRPr="00D1090A">
        <w:rPr>
          <w:i/>
          <w:iCs/>
        </w:rPr>
        <w:t>Journal of the American Academy of Religion</w:t>
      </w:r>
      <w:r w:rsidRPr="00D1090A">
        <w:t xml:space="preserve">, 73(3), pp. 685–703. Available at: </w:t>
      </w:r>
      <w:hyperlink r:id="rId11" w:history="1">
        <w:r w:rsidRPr="00D1090A">
          <w:rPr>
            <w:rStyle w:val="Hyperlink"/>
          </w:rPr>
          <w:t>https://doi.org/10.1093/jaarel/lfi075</w:t>
        </w:r>
      </w:hyperlink>
      <w:r w:rsidRPr="00D1090A">
        <w:t>.</w:t>
      </w:r>
    </w:p>
    <w:p w14:paraId="51EF7899" w14:textId="77777777" w:rsidR="00D1090A" w:rsidRPr="00D1090A" w:rsidRDefault="00D1090A" w:rsidP="004753DD">
      <w:pPr>
        <w:ind w:left="720" w:hanging="720"/>
      </w:pPr>
      <w:r w:rsidRPr="00D1090A">
        <w:t xml:space="preserve">Beynon, E.D. (1938) ‘The Voodoo Cult Among Negro Migrants in Detroit’, </w:t>
      </w:r>
      <w:r w:rsidRPr="00D1090A">
        <w:rPr>
          <w:i/>
          <w:iCs/>
        </w:rPr>
        <w:t>American Journal of Sociology</w:t>
      </w:r>
      <w:r w:rsidRPr="00D1090A">
        <w:t xml:space="preserve">, 43(6), pp. 894–907. Available at: </w:t>
      </w:r>
      <w:hyperlink r:id="rId12" w:history="1">
        <w:r w:rsidRPr="00D1090A">
          <w:rPr>
            <w:rStyle w:val="Hyperlink"/>
          </w:rPr>
          <w:t>https://doi.org/10.1086/217872</w:t>
        </w:r>
      </w:hyperlink>
      <w:r w:rsidRPr="00D1090A">
        <w:t>.</w:t>
      </w:r>
    </w:p>
    <w:p w14:paraId="6AF25DC5" w14:textId="77777777" w:rsidR="00D1090A" w:rsidRPr="00D1090A" w:rsidRDefault="00D1090A" w:rsidP="004753DD">
      <w:pPr>
        <w:ind w:left="720" w:hanging="720"/>
      </w:pPr>
      <w:r w:rsidRPr="00D1090A">
        <w:t xml:space="preserve">Bontemps, A. and Conroy, J. (1945) </w:t>
      </w:r>
      <w:r w:rsidRPr="00D1090A">
        <w:rPr>
          <w:i/>
          <w:iCs/>
        </w:rPr>
        <w:t xml:space="preserve">They Seek a </w:t>
      </w:r>
      <w:proofErr w:type="gramStart"/>
      <w:r w:rsidRPr="00D1090A">
        <w:rPr>
          <w:i/>
          <w:iCs/>
        </w:rPr>
        <w:t>City</w:t>
      </w:r>
      <w:proofErr w:type="gramEnd"/>
      <w:r w:rsidRPr="00D1090A">
        <w:t>. Garden City, N.Y.: Doubleday, Doran &amp; Co.</w:t>
      </w:r>
    </w:p>
    <w:p w14:paraId="6F0446C0" w14:textId="77777777" w:rsidR="00D1090A" w:rsidRPr="00D1090A" w:rsidRDefault="00D1090A" w:rsidP="004753DD">
      <w:pPr>
        <w:ind w:left="720" w:hanging="720"/>
      </w:pPr>
      <w:r w:rsidRPr="00D1090A">
        <w:t xml:space="preserve">Clegg, C.A. (1997) </w:t>
      </w:r>
      <w:r w:rsidRPr="00D1090A">
        <w:rPr>
          <w:i/>
          <w:iCs/>
        </w:rPr>
        <w:t>An Original Man: The Life and Times of Elijah Muhammad</w:t>
      </w:r>
      <w:r w:rsidRPr="00D1090A">
        <w:t>. New York: St. Martin’s Press.</w:t>
      </w:r>
    </w:p>
    <w:p w14:paraId="121B1B14" w14:textId="77777777" w:rsidR="00D1090A" w:rsidRPr="00D1090A" w:rsidRDefault="00D1090A" w:rsidP="004753DD">
      <w:pPr>
        <w:ind w:left="720" w:hanging="720"/>
      </w:pPr>
      <w:r w:rsidRPr="00D1090A">
        <w:t xml:space="preserve">Cohen, W. (1976) ‘Negro Involuntary Servitude in the South, 1865-1940: A Preliminary Analysis’, </w:t>
      </w:r>
      <w:r w:rsidRPr="00D1090A">
        <w:rPr>
          <w:i/>
          <w:iCs/>
        </w:rPr>
        <w:t>The Journal of Southern History</w:t>
      </w:r>
      <w:r w:rsidRPr="00D1090A">
        <w:t xml:space="preserve">, 42(1), pp. 31–60. Available at: </w:t>
      </w:r>
      <w:hyperlink r:id="rId13" w:history="1">
        <w:r w:rsidRPr="00D1090A">
          <w:rPr>
            <w:rStyle w:val="Hyperlink"/>
          </w:rPr>
          <w:t>https://doi.org/10.2307/2205660</w:t>
        </w:r>
      </w:hyperlink>
      <w:r w:rsidRPr="00D1090A">
        <w:t>.</w:t>
      </w:r>
    </w:p>
    <w:p w14:paraId="34EA9453" w14:textId="77777777" w:rsidR="00D1090A" w:rsidRPr="00D1090A" w:rsidRDefault="00D1090A" w:rsidP="004753DD">
      <w:pPr>
        <w:ind w:left="720" w:hanging="720"/>
      </w:pPr>
      <w:r w:rsidRPr="00D1090A">
        <w:t xml:space="preserve">Colley, Z. (2014) ‘“All America Is a Prison”: The Nation of Islam and the Politicization of African American Prisoners, 1955-1965’, </w:t>
      </w:r>
      <w:r w:rsidRPr="00D1090A">
        <w:rPr>
          <w:i/>
          <w:iCs/>
        </w:rPr>
        <w:t>Journal of American Studies</w:t>
      </w:r>
      <w:r w:rsidRPr="00D1090A">
        <w:t>, 48(2), pp. 393–415.</w:t>
      </w:r>
    </w:p>
    <w:p w14:paraId="264907A0" w14:textId="77777777" w:rsidR="00D1090A" w:rsidRPr="00D1090A" w:rsidRDefault="00D1090A" w:rsidP="004753DD">
      <w:pPr>
        <w:ind w:left="720" w:hanging="720"/>
      </w:pPr>
      <w:r w:rsidRPr="00D1090A">
        <w:t xml:space="preserve">Douglas, K.B. (2015) </w:t>
      </w:r>
      <w:r w:rsidRPr="00D1090A">
        <w:rPr>
          <w:i/>
          <w:iCs/>
        </w:rPr>
        <w:t>Stand Your Ground; Black Bodies and the Justice of God</w:t>
      </w:r>
      <w:r w:rsidRPr="00D1090A">
        <w:t xml:space="preserve">. New York: ORBIS. Available at: </w:t>
      </w:r>
      <w:hyperlink r:id="rId14" w:history="1">
        <w:r w:rsidRPr="00D1090A">
          <w:rPr>
            <w:rStyle w:val="Hyperlink"/>
          </w:rPr>
          <w:t>https://research.ebsco.com/linkprocessor/plink?id=c6939a3a-79cf-3376-92ed-313efd6ae89b</w:t>
        </w:r>
      </w:hyperlink>
      <w:r w:rsidRPr="00D1090A">
        <w:t>.</w:t>
      </w:r>
    </w:p>
    <w:p w14:paraId="5AB645F0" w14:textId="77777777" w:rsidR="00D1090A" w:rsidRPr="00D1090A" w:rsidRDefault="00D1090A" w:rsidP="004753DD">
      <w:pPr>
        <w:ind w:left="720" w:hanging="720"/>
      </w:pPr>
      <w:r w:rsidRPr="00D1090A">
        <w:t xml:space="preserve">Du Bois, W.E.B. (1994) </w:t>
      </w:r>
      <w:r w:rsidRPr="00D1090A">
        <w:rPr>
          <w:i/>
          <w:iCs/>
        </w:rPr>
        <w:t>The Souls of Black Folk</w:t>
      </w:r>
      <w:r w:rsidRPr="00D1090A">
        <w:t>. New York: Gramercy Books.</w:t>
      </w:r>
    </w:p>
    <w:p w14:paraId="1DA5E699" w14:textId="77777777" w:rsidR="00D1090A" w:rsidRPr="00D1090A" w:rsidRDefault="00D1090A" w:rsidP="004753DD">
      <w:pPr>
        <w:ind w:left="720" w:hanging="720"/>
      </w:pPr>
      <w:proofErr w:type="spellStart"/>
      <w:r w:rsidRPr="00D1090A">
        <w:t>Evanzz</w:t>
      </w:r>
      <w:proofErr w:type="spellEnd"/>
      <w:r w:rsidRPr="00D1090A">
        <w:t xml:space="preserve">, K. (2001) </w:t>
      </w:r>
      <w:r w:rsidRPr="00D1090A">
        <w:rPr>
          <w:i/>
          <w:iCs/>
        </w:rPr>
        <w:t>The Messenger: The Rise and Fall of Elijah Muhammad</w:t>
      </w:r>
      <w:r w:rsidRPr="00D1090A">
        <w:t>. New York: Knopf Doubleday Publishing Group.</w:t>
      </w:r>
    </w:p>
    <w:p w14:paraId="008C5055" w14:textId="77777777" w:rsidR="00D1090A" w:rsidRPr="00D1090A" w:rsidRDefault="00D1090A" w:rsidP="004753DD">
      <w:pPr>
        <w:ind w:left="720" w:hanging="720"/>
      </w:pPr>
      <w:r w:rsidRPr="00D1090A">
        <w:t xml:space="preserve">Federal Bureau of Investigation (1965) </w:t>
      </w:r>
      <w:r w:rsidRPr="00D1090A">
        <w:rPr>
          <w:i/>
          <w:iCs/>
        </w:rPr>
        <w:t>FBI File on Wallace D. Fard (W.D. Fard / Wallie D. Ford)</w:t>
      </w:r>
      <w:r w:rsidRPr="00D1090A">
        <w:t>. Government Document / Investigative File San Francisco File 100-43165; Bureau File 100-51473. Federal Bureau of Investigation.</w:t>
      </w:r>
    </w:p>
    <w:p w14:paraId="21F26AB4" w14:textId="77777777" w:rsidR="00D1090A" w:rsidRPr="00D1090A" w:rsidRDefault="00D1090A" w:rsidP="004753DD">
      <w:pPr>
        <w:ind w:left="720" w:hanging="720"/>
      </w:pPr>
      <w:r w:rsidRPr="00D1090A">
        <w:t xml:space="preserve">Finley, S.C. (2017) ‘“The Secret … of Who the Devil Is”: Elijah Muhammad, the Nation of Islam, and Theological Phenomenology’, </w:t>
      </w:r>
      <w:r w:rsidRPr="00D1090A">
        <w:rPr>
          <w:i/>
          <w:iCs/>
        </w:rPr>
        <w:t>New Perspectives on the Nation of Islam</w:t>
      </w:r>
      <w:r w:rsidRPr="00D1090A">
        <w:t xml:space="preserve">. New York: Routledge, pp. 154–173. Available at: </w:t>
      </w:r>
      <w:hyperlink r:id="rId15" w:history="1">
        <w:r w:rsidRPr="00D1090A">
          <w:rPr>
            <w:rStyle w:val="Hyperlink"/>
          </w:rPr>
          <w:t>https://doi.org/10.4324/9781315646718</w:t>
        </w:r>
      </w:hyperlink>
      <w:r w:rsidRPr="00D1090A">
        <w:t>.</w:t>
      </w:r>
    </w:p>
    <w:p w14:paraId="6BF43A1B" w14:textId="77777777" w:rsidR="00D1090A" w:rsidRPr="00D1090A" w:rsidRDefault="00D1090A" w:rsidP="004753DD">
      <w:pPr>
        <w:ind w:left="720" w:hanging="720"/>
      </w:pPr>
      <w:r w:rsidRPr="00D1090A">
        <w:lastRenderedPageBreak/>
        <w:t xml:space="preserve">Frazier, E.F. (1974) </w:t>
      </w:r>
      <w:r w:rsidRPr="00D1090A">
        <w:rPr>
          <w:i/>
          <w:iCs/>
        </w:rPr>
        <w:t>The Negro Church in America</w:t>
      </w:r>
      <w:r w:rsidRPr="00D1090A">
        <w:t>. New York: Knopf Doubleday Publishing Group.</w:t>
      </w:r>
    </w:p>
    <w:p w14:paraId="1366046D" w14:textId="77777777" w:rsidR="00D1090A" w:rsidRPr="00D1090A" w:rsidRDefault="00D1090A" w:rsidP="004753DD">
      <w:pPr>
        <w:ind w:left="720" w:hanging="720"/>
      </w:pPr>
      <w:r w:rsidRPr="00D1090A">
        <w:t xml:space="preserve">Fredrickson, G.M. (1971) </w:t>
      </w:r>
      <w:r w:rsidRPr="00D1090A">
        <w:rPr>
          <w:i/>
          <w:iCs/>
        </w:rPr>
        <w:t>The Black Image in the White Mind: The Debate on Afro-American Character and Destiny, 1817-1914</w:t>
      </w:r>
      <w:r w:rsidRPr="00D1090A">
        <w:t>. New York: Harper &amp; Row.</w:t>
      </w:r>
    </w:p>
    <w:p w14:paraId="4BC486F7" w14:textId="77777777" w:rsidR="00D1090A" w:rsidRPr="00D1090A" w:rsidRDefault="00D1090A" w:rsidP="004753DD">
      <w:pPr>
        <w:ind w:left="720" w:hanging="720"/>
      </w:pPr>
      <w:r w:rsidRPr="00D1090A">
        <w:t xml:space="preserve">Glock, C.Y. (1964) ‘The Role of Deprivation in the Origin and Evolution of Religious Groups’, in R. Lee and M.E. Marty (eds) </w:t>
      </w:r>
      <w:r w:rsidRPr="00D1090A">
        <w:rPr>
          <w:i/>
          <w:iCs/>
        </w:rPr>
        <w:t>Religion and Social Conflict</w:t>
      </w:r>
      <w:r w:rsidRPr="00D1090A">
        <w:t>. New York: Oxford University Press, pp. 24–36.</w:t>
      </w:r>
    </w:p>
    <w:p w14:paraId="4D7A8281" w14:textId="77777777" w:rsidR="00D1090A" w:rsidRPr="00D1090A" w:rsidRDefault="00D1090A" w:rsidP="004753DD">
      <w:pPr>
        <w:ind w:left="720" w:hanging="720"/>
      </w:pPr>
      <w:r w:rsidRPr="00D1090A">
        <w:t xml:space="preserve">Harris, C.I. (1993) ‘Whiteness as Property’, </w:t>
      </w:r>
      <w:r w:rsidRPr="00D1090A">
        <w:rPr>
          <w:i/>
          <w:iCs/>
        </w:rPr>
        <w:t>Harvard Law Review</w:t>
      </w:r>
      <w:r w:rsidRPr="00D1090A">
        <w:t xml:space="preserve">, 106(8), pp. 1707–1791. Available at: </w:t>
      </w:r>
      <w:hyperlink r:id="rId16" w:history="1">
        <w:r w:rsidRPr="00D1090A">
          <w:rPr>
            <w:rStyle w:val="Hyperlink"/>
          </w:rPr>
          <w:t>https://doi.org/10.2307/1341787</w:t>
        </w:r>
      </w:hyperlink>
      <w:r w:rsidRPr="00D1090A">
        <w:t>.</w:t>
      </w:r>
    </w:p>
    <w:p w14:paraId="6FED615B" w14:textId="77777777" w:rsidR="00D1090A" w:rsidRPr="00D1090A" w:rsidRDefault="00D1090A" w:rsidP="004753DD">
      <w:pPr>
        <w:ind w:left="720" w:hanging="720"/>
      </w:pPr>
      <w:r w:rsidRPr="00D1090A">
        <w:t xml:space="preserve">Hartman, S.V. (1997) </w:t>
      </w:r>
      <w:r w:rsidRPr="00D1090A">
        <w:rPr>
          <w:i/>
          <w:iCs/>
        </w:rPr>
        <w:t>Scenes of subjection: terror, slavery, and self-making in nineteenth-century America</w:t>
      </w:r>
      <w:r w:rsidRPr="00D1090A">
        <w:t>. New York: Oxford University Press (Race and American culture).</w:t>
      </w:r>
    </w:p>
    <w:p w14:paraId="00BCDFBE" w14:textId="77777777" w:rsidR="00D1090A" w:rsidRPr="00D1090A" w:rsidRDefault="00D1090A" w:rsidP="004753DD">
      <w:pPr>
        <w:ind w:left="720" w:hanging="720"/>
      </w:pPr>
      <w:r w:rsidRPr="00D1090A">
        <w:t xml:space="preserve">Haynes, S.R. (2002) </w:t>
      </w:r>
      <w:r w:rsidRPr="00D1090A">
        <w:rPr>
          <w:i/>
          <w:iCs/>
        </w:rPr>
        <w:t>Noah’s Curse: The Biblical Justification of American Slavery</w:t>
      </w:r>
      <w:r w:rsidRPr="00D1090A">
        <w:t>. New York: Oxford University Press.</w:t>
      </w:r>
    </w:p>
    <w:p w14:paraId="68E01CEA" w14:textId="77777777" w:rsidR="00D1090A" w:rsidRPr="00D1090A" w:rsidRDefault="00D1090A" w:rsidP="004753DD">
      <w:pPr>
        <w:ind w:left="720" w:hanging="720"/>
      </w:pPr>
      <w:r w:rsidRPr="00D1090A">
        <w:t xml:space="preserve">Hening, W.W. (1823) </w:t>
      </w:r>
      <w:r w:rsidRPr="00D1090A">
        <w:rPr>
          <w:i/>
          <w:iCs/>
        </w:rPr>
        <w:t>The Statutes at Large; being a collection of all the laws of Virginia</w:t>
      </w:r>
      <w:r w:rsidRPr="00D1090A">
        <w:t xml:space="preserve">. New York: R. &amp; W. &amp; G. Bartow. Available at: </w:t>
      </w:r>
      <w:hyperlink r:id="rId17" w:history="1">
        <w:r w:rsidRPr="00D1090A">
          <w:rPr>
            <w:rStyle w:val="Hyperlink"/>
          </w:rPr>
          <w:t>http://archive.org/details/statutesatlargeb02virg</w:t>
        </w:r>
      </w:hyperlink>
      <w:r w:rsidRPr="00D1090A">
        <w:t xml:space="preserve"> (Accessed: 23 June 2026).</w:t>
      </w:r>
    </w:p>
    <w:p w14:paraId="78C2333E" w14:textId="77777777" w:rsidR="00D1090A" w:rsidRPr="00D1090A" w:rsidRDefault="00D1090A" w:rsidP="004753DD">
      <w:pPr>
        <w:ind w:left="720" w:hanging="720"/>
      </w:pPr>
      <w:r w:rsidRPr="00D1090A">
        <w:t xml:space="preserve">Hogan, M.J. (1998) </w:t>
      </w:r>
      <w:r w:rsidRPr="00D1090A">
        <w:rPr>
          <w:i/>
          <w:iCs/>
        </w:rPr>
        <w:t>A Cross of Iron: Harry S. Truman and the Origins of the National Security State, 1945–1950</w:t>
      </w:r>
      <w:r w:rsidRPr="00D1090A">
        <w:t xml:space="preserve">. Cambridge: Cambridge University Press. Available at: </w:t>
      </w:r>
      <w:hyperlink r:id="rId18" w:history="1">
        <w:r w:rsidRPr="00D1090A">
          <w:rPr>
            <w:rStyle w:val="Hyperlink"/>
          </w:rPr>
          <w:t>https://doi.org/10.1017/CBO9780511664984</w:t>
        </w:r>
      </w:hyperlink>
      <w:r w:rsidRPr="00D1090A">
        <w:t>.</w:t>
      </w:r>
    </w:p>
    <w:p w14:paraId="4D34CEF4" w14:textId="77777777" w:rsidR="00D1090A" w:rsidRPr="00D1090A" w:rsidRDefault="00D1090A" w:rsidP="004753DD">
      <w:pPr>
        <w:ind w:left="720" w:hanging="720"/>
      </w:pPr>
      <w:r w:rsidRPr="00D1090A">
        <w:t xml:space="preserve">Horne, G. (1995) </w:t>
      </w:r>
      <w:r w:rsidRPr="00D1090A">
        <w:rPr>
          <w:i/>
          <w:iCs/>
        </w:rPr>
        <w:t>Fire this Time: The Watts Uprising and the 1960s</w:t>
      </w:r>
      <w:r w:rsidRPr="00D1090A">
        <w:t>. Charlottesville: University of Virginia Press.</w:t>
      </w:r>
    </w:p>
    <w:p w14:paraId="7DF4432C" w14:textId="77777777" w:rsidR="00D1090A" w:rsidRPr="00D1090A" w:rsidRDefault="00D1090A" w:rsidP="004753DD">
      <w:pPr>
        <w:ind w:left="720" w:hanging="720"/>
      </w:pPr>
      <w:r w:rsidRPr="00D1090A">
        <w:t xml:space="preserve">Howell, S. (2013) ‘Laying the Groundwork for American Muslim Histories: 1865–1965’, in J. Hammer and O. Safi (eds) </w:t>
      </w:r>
      <w:r w:rsidRPr="00D1090A">
        <w:rPr>
          <w:i/>
          <w:iCs/>
        </w:rPr>
        <w:t>The Cambridge Companion to American Islam</w:t>
      </w:r>
      <w:r w:rsidRPr="00D1090A">
        <w:t xml:space="preserve">. Cambridge: Cambridge University Press (Cambridge Companions to Religion), pp. 45–64. Available at: </w:t>
      </w:r>
      <w:hyperlink r:id="rId19" w:history="1">
        <w:r w:rsidRPr="00D1090A">
          <w:rPr>
            <w:rStyle w:val="Hyperlink"/>
          </w:rPr>
          <w:t>https://doi.org/10.1017/CCO9781139026161.006</w:t>
        </w:r>
      </w:hyperlink>
      <w:r w:rsidRPr="00D1090A">
        <w:t>.</w:t>
      </w:r>
    </w:p>
    <w:p w14:paraId="1EC1FBB4" w14:textId="77777777" w:rsidR="00D1090A" w:rsidRPr="00D1090A" w:rsidRDefault="00D1090A" w:rsidP="004753DD">
      <w:pPr>
        <w:ind w:left="720" w:hanging="720"/>
      </w:pPr>
      <w:r w:rsidRPr="00D1090A">
        <w:t xml:space="preserve">Jones Jr, O. (1978) </w:t>
      </w:r>
      <w:r w:rsidRPr="00D1090A">
        <w:rPr>
          <w:i/>
          <w:iCs/>
        </w:rPr>
        <w:t>The Constitutional Politics of the Black Muslim Movement in America.</w:t>
      </w:r>
      <w:r w:rsidRPr="00D1090A">
        <w:t xml:space="preserve"> Ph.D. University of Illinois at Urbana-Champaign. Available at: </w:t>
      </w:r>
      <w:hyperlink r:id="rId20" w:history="1">
        <w:r w:rsidRPr="00D1090A">
          <w:rPr>
            <w:rStyle w:val="Hyperlink"/>
          </w:rPr>
          <w:t>https://www.proquest.com/docview/302880612/citation/FF6BEFBE8E334A6FPQ/1</w:t>
        </w:r>
      </w:hyperlink>
      <w:r w:rsidRPr="00D1090A">
        <w:t xml:space="preserve"> (Accessed: 19 June 2026).</w:t>
      </w:r>
    </w:p>
    <w:p w14:paraId="12E1E0AA" w14:textId="77777777" w:rsidR="00D1090A" w:rsidRPr="00D1090A" w:rsidRDefault="00D1090A" w:rsidP="004753DD">
      <w:pPr>
        <w:ind w:left="720" w:hanging="720"/>
      </w:pPr>
      <w:r w:rsidRPr="00D1090A">
        <w:t xml:space="preserve">Jones, W.R. (1998) </w:t>
      </w:r>
      <w:r w:rsidRPr="00D1090A">
        <w:rPr>
          <w:i/>
          <w:iCs/>
        </w:rPr>
        <w:t>Is God a white racist? A preamble to Black theology</w:t>
      </w:r>
      <w:r w:rsidRPr="00D1090A">
        <w:t>. Massachusetts: Beacon Press.</w:t>
      </w:r>
    </w:p>
    <w:p w14:paraId="7E749D0A" w14:textId="77777777" w:rsidR="00D1090A" w:rsidRPr="00D1090A" w:rsidRDefault="00D1090A" w:rsidP="004753DD">
      <w:pPr>
        <w:ind w:left="720" w:hanging="720"/>
      </w:pPr>
      <w:r w:rsidRPr="00D1090A">
        <w:t xml:space="preserve">King, J.E. (ed.) (2006) </w:t>
      </w:r>
      <w:r w:rsidRPr="00D1090A">
        <w:rPr>
          <w:i/>
          <w:iCs/>
        </w:rPr>
        <w:t>Black Education: A Transformative Research and Action Agenda for the New Century</w:t>
      </w:r>
      <w:r w:rsidRPr="00D1090A">
        <w:t xml:space="preserve">. New York: Routledge. Available at: </w:t>
      </w:r>
      <w:hyperlink r:id="rId21" w:history="1">
        <w:r w:rsidRPr="00D1090A">
          <w:rPr>
            <w:rStyle w:val="Hyperlink"/>
          </w:rPr>
          <w:t>https://doi.org/10.4324/9781410613912</w:t>
        </w:r>
      </w:hyperlink>
      <w:r w:rsidRPr="00D1090A">
        <w:t>.</w:t>
      </w:r>
    </w:p>
    <w:p w14:paraId="5AB98D2E" w14:textId="77777777" w:rsidR="00D1090A" w:rsidRPr="00D1090A" w:rsidRDefault="00D1090A" w:rsidP="004753DD">
      <w:pPr>
        <w:ind w:left="720" w:hanging="720"/>
      </w:pPr>
      <w:r w:rsidRPr="00D1090A">
        <w:t xml:space="preserve">King, S. (1990) ‘Naming and Power in Zora Neale Hurston’s Their Eyes were Watching God’, </w:t>
      </w:r>
      <w:r w:rsidRPr="00D1090A">
        <w:rPr>
          <w:i/>
          <w:iCs/>
        </w:rPr>
        <w:t>Black American Literature Forum</w:t>
      </w:r>
      <w:r w:rsidRPr="00D1090A">
        <w:t xml:space="preserve">, 24(4), pp. 683–696. Available at: </w:t>
      </w:r>
      <w:hyperlink r:id="rId22" w:history="1">
        <w:r w:rsidRPr="00D1090A">
          <w:rPr>
            <w:rStyle w:val="Hyperlink"/>
          </w:rPr>
          <w:t>https://doi.org/10.2307/3041796</w:t>
        </w:r>
      </w:hyperlink>
      <w:r w:rsidRPr="00D1090A">
        <w:t>.</w:t>
      </w:r>
    </w:p>
    <w:p w14:paraId="1B6A03FE" w14:textId="77777777" w:rsidR="00D1090A" w:rsidRPr="00D1090A" w:rsidRDefault="00D1090A" w:rsidP="004753DD">
      <w:pPr>
        <w:ind w:left="720" w:hanging="720"/>
      </w:pPr>
      <w:r w:rsidRPr="00D1090A">
        <w:t xml:space="preserve">Knight, M.M. (2019) ‘“I am Sorry, Mr. White Man, </w:t>
      </w:r>
      <w:proofErr w:type="gramStart"/>
      <w:r w:rsidRPr="00D1090A">
        <w:t>These</w:t>
      </w:r>
      <w:proofErr w:type="gramEnd"/>
      <w:r w:rsidRPr="00D1090A">
        <w:t xml:space="preserve"> are Secrets that You are Not Permitted to Learn”: The Supreme Wisdom Lessons and Problem Book’, </w:t>
      </w:r>
      <w:r w:rsidRPr="00D1090A">
        <w:rPr>
          <w:i/>
          <w:iCs/>
        </w:rPr>
        <w:t>Special Issue: Islamic Esotericism</w:t>
      </w:r>
      <w:r w:rsidRPr="00D1090A">
        <w:t>, 7(1), pp. 167–200.</w:t>
      </w:r>
    </w:p>
    <w:p w14:paraId="4D27D86D" w14:textId="77777777" w:rsidR="00D1090A" w:rsidRPr="00D1090A" w:rsidRDefault="00D1090A" w:rsidP="004753DD">
      <w:pPr>
        <w:ind w:left="720" w:hanging="720"/>
      </w:pPr>
      <w:proofErr w:type="spellStart"/>
      <w:r w:rsidRPr="00D1090A">
        <w:lastRenderedPageBreak/>
        <w:t>Kornweibel</w:t>
      </w:r>
      <w:proofErr w:type="spellEnd"/>
      <w:r w:rsidRPr="00D1090A">
        <w:t xml:space="preserve"> Jr, T. (1998) </w:t>
      </w:r>
      <w:r w:rsidRPr="00D1090A">
        <w:rPr>
          <w:i/>
          <w:iCs/>
        </w:rPr>
        <w:t>Seeing Red: Federal Campaigns Against Black Militancy, 1919-1925</w:t>
      </w:r>
      <w:r w:rsidRPr="00D1090A">
        <w:t>. Bloomington: Indiana University Press.</w:t>
      </w:r>
    </w:p>
    <w:p w14:paraId="0CA6AD6F" w14:textId="77777777" w:rsidR="00D1090A" w:rsidRPr="00D1090A" w:rsidRDefault="00D1090A" w:rsidP="004753DD">
      <w:pPr>
        <w:ind w:left="720" w:hanging="720"/>
      </w:pPr>
      <w:r w:rsidRPr="00D1090A">
        <w:t xml:space="preserve">Lee, J.P. </w:t>
      </w:r>
      <w:r w:rsidRPr="00D1090A">
        <w:rPr>
          <w:i/>
          <w:iCs/>
        </w:rPr>
        <w:t>et al.</w:t>
      </w:r>
      <w:r w:rsidRPr="00D1090A">
        <w:t xml:space="preserve"> (2020) ‘What explains the concentration of off-</w:t>
      </w:r>
      <w:proofErr w:type="gramStart"/>
      <w:r w:rsidRPr="00D1090A">
        <w:t>premise</w:t>
      </w:r>
      <w:proofErr w:type="gramEnd"/>
      <w:r w:rsidRPr="00D1090A">
        <w:t xml:space="preserve"> alcohol outlets in Black </w:t>
      </w:r>
      <w:proofErr w:type="spellStart"/>
      <w:r w:rsidRPr="00D1090A">
        <w:t>neighborhoods</w:t>
      </w:r>
      <w:proofErr w:type="spellEnd"/>
      <w:r w:rsidRPr="00D1090A">
        <w:t xml:space="preserve">?’, </w:t>
      </w:r>
      <w:r w:rsidRPr="00D1090A">
        <w:rPr>
          <w:i/>
          <w:iCs/>
        </w:rPr>
        <w:t>SSM - Population Health</w:t>
      </w:r>
      <w:r w:rsidRPr="00D1090A">
        <w:t xml:space="preserve">, 12, p. 100669. Available at: </w:t>
      </w:r>
      <w:hyperlink r:id="rId23" w:history="1">
        <w:r w:rsidRPr="00D1090A">
          <w:rPr>
            <w:rStyle w:val="Hyperlink"/>
          </w:rPr>
          <w:t>https://doi.org/10.1016/j.ssmph.2020.100669</w:t>
        </w:r>
      </w:hyperlink>
      <w:r w:rsidRPr="00D1090A">
        <w:t>.</w:t>
      </w:r>
    </w:p>
    <w:p w14:paraId="71583B03" w14:textId="77777777" w:rsidR="00D1090A" w:rsidRPr="00D1090A" w:rsidRDefault="00D1090A" w:rsidP="004753DD">
      <w:pPr>
        <w:ind w:left="720" w:hanging="720"/>
      </w:pPr>
      <w:r w:rsidRPr="00D1090A">
        <w:t xml:space="preserve">Lemann, N. (2011) </w:t>
      </w:r>
      <w:r w:rsidRPr="00D1090A">
        <w:rPr>
          <w:i/>
          <w:iCs/>
        </w:rPr>
        <w:t>The Promised Land: The Great Black Migration and How It Changed America (Helen Bernstein Book Award)</w:t>
      </w:r>
      <w:r w:rsidRPr="00D1090A">
        <w:t>. New York: Knopf Doubleday Publishing Group.</w:t>
      </w:r>
    </w:p>
    <w:p w14:paraId="60DCCB10" w14:textId="77777777" w:rsidR="00D1090A" w:rsidRPr="00D1090A" w:rsidRDefault="00D1090A" w:rsidP="004753DD">
      <w:pPr>
        <w:ind w:left="720" w:hanging="720"/>
      </w:pPr>
      <w:r w:rsidRPr="00D1090A">
        <w:t xml:space="preserve">Lewis, D. (1934) ‘Wake Up!’, </w:t>
      </w:r>
      <w:r w:rsidRPr="00D1090A">
        <w:rPr>
          <w:i/>
          <w:iCs/>
        </w:rPr>
        <w:t>The Final Call to Islam</w:t>
      </w:r>
      <w:r w:rsidRPr="00D1090A">
        <w:t>, 1 September.</w:t>
      </w:r>
    </w:p>
    <w:p w14:paraId="11671116" w14:textId="77777777" w:rsidR="00D1090A" w:rsidRPr="00D1090A" w:rsidRDefault="00D1090A" w:rsidP="004753DD">
      <w:pPr>
        <w:ind w:left="720" w:hanging="720"/>
      </w:pPr>
      <w:r w:rsidRPr="00D1090A">
        <w:t xml:space="preserve">Lincoln, C.E. (1961) </w:t>
      </w:r>
      <w:r w:rsidRPr="00D1090A">
        <w:rPr>
          <w:i/>
          <w:iCs/>
        </w:rPr>
        <w:t>The Black Muslims in America</w:t>
      </w:r>
      <w:r w:rsidRPr="00D1090A">
        <w:t>. Massachusetts: Beacon Press.</w:t>
      </w:r>
    </w:p>
    <w:p w14:paraId="3A073E87" w14:textId="77777777" w:rsidR="00D1090A" w:rsidRPr="00D1090A" w:rsidRDefault="00D1090A" w:rsidP="004753DD">
      <w:pPr>
        <w:ind w:left="720" w:hanging="720"/>
      </w:pPr>
      <w:r w:rsidRPr="00D1090A">
        <w:t xml:space="preserve">Losier, T. (2013) </w:t>
      </w:r>
      <w:proofErr w:type="gramStart"/>
      <w:r w:rsidRPr="00D1090A">
        <w:t>‘“ …</w:t>
      </w:r>
      <w:proofErr w:type="gramEnd"/>
      <w:r w:rsidRPr="00D1090A">
        <w:t xml:space="preserve"> For Strictly Religious Reason[s]”’, </w:t>
      </w:r>
      <w:r w:rsidRPr="00D1090A">
        <w:rPr>
          <w:i/>
          <w:iCs/>
        </w:rPr>
        <w:t>Souls</w:t>
      </w:r>
      <w:r w:rsidRPr="00D1090A">
        <w:t xml:space="preserve">, 15(1–2), pp. 19–38. Available at: </w:t>
      </w:r>
      <w:hyperlink r:id="rId24" w:history="1">
        <w:r w:rsidRPr="00D1090A">
          <w:rPr>
            <w:rStyle w:val="Hyperlink"/>
          </w:rPr>
          <w:t>https://doi.org/10.1080/10999949.2013.803839</w:t>
        </w:r>
      </w:hyperlink>
      <w:r w:rsidRPr="00D1090A">
        <w:t>.</w:t>
      </w:r>
    </w:p>
    <w:p w14:paraId="42F68A19" w14:textId="77777777" w:rsidR="00D1090A" w:rsidRPr="00D1090A" w:rsidRDefault="00D1090A" w:rsidP="004753DD">
      <w:pPr>
        <w:ind w:left="720" w:hanging="720"/>
      </w:pPr>
      <w:r w:rsidRPr="00D1090A">
        <w:t xml:space="preserve">McCullum, L.P.X. (1971) ‘Messenger Muhammad — The Surgeon’, </w:t>
      </w:r>
      <w:r w:rsidRPr="00D1090A">
        <w:rPr>
          <w:i/>
          <w:iCs/>
        </w:rPr>
        <w:t>Muhammad Speaks</w:t>
      </w:r>
      <w:r w:rsidRPr="00D1090A">
        <w:t>, 10(28), p. 18.</w:t>
      </w:r>
    </w:p>
    <w:p w14:paraId="071CBEBF" w14:textId="77777777" w:rsidR="00D1090A" w:rsidRPr="00D1090A" w:rsidRDefault="00D1090A" w:rsidP="004753DD">
      <w:pPr>
        <w:ind w:left="720" w:hanging="720"/>
      </w:pPr>
      <w:r w:rsidRPr="00D1090A">
        <w:t xml:space="preserve">Mohammed, J. (1934) ‘To the Young </w:t>
      </w:r>
      <w:proofErr w:type="spellStart"/>
      <w:r w:rsidRPr="00D1090A">
        <w:t>Asiatics</w:t>
      </w:r>
      <w:proofErr w:type="spellEnd"/>
      <w:r w:rsidRPr="00D1090A">
        <w:t xml:space="preserve"> of North America’, </w:t>
      </w:r>
      <w:r w:rsidRPr="00D1090A">
        <w:rPr>
          <w:i/>
          <w:iCs/>
        </w:rPr>
        <w:t>The Final Call to Islam</w:t>
      </w:r>
      <w:r w:rsidRPr="00D1090A">
        <w:t>, 1 September.</w:t>
      </w:r>
    </w:p>
    <w:p w14:paraId="74CE5ACF" w14:textId="77777777" w:rsidR="00D1090A" w:rsidRPr="00D1090A" w:rsidRDefault="00D1090A" w:rsidP="004753DD">
      <w:pPr>
        <w:ind w:left="720" w:hanging="720"/>
      </w:pPr>
      <w:r w:rsidRPr="00D1090A">
        <w:t xml:space="preserve">Mohammed, K. (1934) ‘The Psychological Values of Islam’, </w:t>
      </w:r>
      <w:r w:rsidRPr="00D1090A">
        <w:rPr>
          <w:i/>
          <w:iCs/>
        </w:rPr>
        <w:t>The Final Call to Islam</w:t>
      </w:r>
      <w:r w:rsidRPr="00D1090A">
        <w:t>, 25 August.</w:t>
      </w:r>
    </w:p>
    <w:p w14:paraId="2B7EA499" w14:textId="77777777" w:rsidR="00D1090A" w:rsidRPr="00D1090A" w:rsidRDefault="00D1090A" w:rsidP="004753DD">
      <w:pPr>
        <w:ind w:left="720" w:hanging="720"/>
      </w:pPr>
      <w:r w:rsidRPr="00D1090A">
        <w:t xml:space="preserve">Montgomery, E. (1963) ‘Black Muslim Founder Exposed </w:t>
      </w:r>
      <w:proofErr w:type="gramStart"/>
      <w:r w:rsidRPr="00D1090A">
        <w:t>As</w:t>
      </w:r>
      <w:proofErr w:type="gramEnd"/>
      <w:r w:rsidRPr="00D1090A">
        <w:t xml:space="preserve"> a White’, </w:t>
      </w:r>
      <w:r w:rsidRPr="00D1090A">
        <w:rPr>
          <w:i/>
          <w:iCs/>
        </w:rPr>
        <w:t>Los Angeles Evening Herald Examiner</w:t>
      </w:r>
      <w:r w:rsidRPr="00D1090A">
        <w:t>, 28 July.</w:t>
      </w:r>
    </w:p>
    <w:p w14:paraId="347D3C8D" w14:textId="77777777" w:rsidR="00D1090A" w:rsidRPr="00D1090A" w:rsidRDefault="00D1090A" w:rsidP="004753DD">
      <w:pPr>
        <w:ind w:left="720" w:hanging="720"/>
      </w:pPr>
      <w:r w:rsidRPr="00D1090A">
        <w:t xml:space="preserve">Morrow, J.A. (2019) </w:t>
      </w:r>
      <w:r w:rsidRPr="00D1090A">
        <w:rPr>
          <w:i/>
          <w:iCs/>
        </w:rPr>
        <w:t>Finding W. D. Fard: Unveiling the Identity of the Founder of the Nation of Islam</w:t>
      </w:r>
      <w:r w:rsidRPr="00D1090A">
        <w:t xml:space="preserve">. Newcastle-upon-Tyne: Cambridge Scholars Publishing. Available at: </w:t>
      </w:r>
      <w:hyperlink r:id="rId25" w:history="1">
        <w:r w:rsidRPr="00D1090A">
          <w:rPr>
            <w:rStyle w:val="Hyperlink"/>
          </w:rPr>
          <w:t>http://ebookcentral.proquest.com/lib/kcl/detail.action?docID=5639200</w:t>
        </w:r>
      </w:hyperlink>
      <w:r w:rsidRPr="00D1090A">
        <w:t xml:space="preserve"> (Accessed: 19 June 2026).</w:t>
      </w:r>
    </w:p>
    <w:p w14:paraId="4388C530" w14:textId="77777777" w:rsidR="00D1090A" w:rsidRPr="00D1090A" w:rsidRDefault="00D1090A" w:rsidP="004753DD">
      <w:pPr>
        <w:ind w:left="720" w:hanging="720"/>
      </w:pPr>
      <w:r w:rsidRPr="00D1090A">
        <w:t xml:space="preserve">Morrow, J.A. (2025) </w:t>
      </w:r>
      <w:r w:rsidRPr="00D1090A">
        <w:rPr>
          <w:i/>
          <w:iCs/>
        </w:rPr>
        <w:t>W. D. Fard: The Man, Mystery, and Myth Behind the Nation of Islam</w:t>
      </w:r>
      <w:r w:rsidRPr="00D1090A">
        <w:t>. 1st ed. La Vergne: Academica Press.</w:t>
      </w:r>
    </w:p>
    <w:p w14:paraId="7101A5B7" w14:textId="77777777" w:rsidR="00D1090A" w:rsidRPr="00D1090A" w:rsidRDefault="00D1090A" w:rsidP="004753DD">
      <w:pPr>
        <w:ind w:left="720" w:hanging="720"/>
      </w:pPr>
      <w:r w:rsidRPr="00D1090A">
        <w:t xml:space="preserve">Muhammad, E. (1934a) ‘The Final Call to Islam’, </w:t>
      </w:r>
      <w:r w:rsidRPr="00D1090A">
        <w:rPr>
          <w:i/>
          <w:iCs/>
        </w:rPr>
        <w:t>The Final Call to Islam</w:t>
      </w:r>
      <w:r w:rsidRPr="00D1090A">
        <w:t>, 11 August.</w:t>
      </w:r>
    </w:p>
    <w:p w14:paraId="673F512B" w14:textId="77777777" w:rsidR="00D1090A" w:rsidRPr="00D1090A" w:rsidRDefault="00D1090A" w:rsidP="004753DD">
      <w:pPr>
        <w:ind w:left="720" w:hanging="720"/>
      </w:pPr>
      <w:r w:rsidRPr="00D1090A">
        <w:t xml:space="preserve">Muhammad, E. (1934b) ‘The Final Call to Islam’, </w:t>
      </w:r>
      <w:r w:rsidRPr="00D1090A">
        <w:rPr>
          <w:i/>
          <w:iCs/>
        </w:rPr>
        <w:t>The Final Call to Islam</w:t>
      </w:r>
      <w:r w:rsidRPr="00D1090A">
        <w:t>, 18 August.</w:t>
      </w:r>
    </w:p>
    <w:p w14:paraId="0319C9D9" w14:textId="77777777" w:rsidR="00D1090A" w:rsidRPr="00D1090A" w:rsidRDefault="00D1090A" w:rsidP="004753DD">
      <w:pPr>
        <w:ind w:left="720" w:hanging="720"/>
      </w:pPr>
      <w:r w:rsidRPr="00D1090A">
        <w:t xml:space="preserve">Muhammad, E. (1934c) ‘The Final Call to Islam’, </w:t>
      </w:r>
      <w:r w:rsidRPr="00D1090A">
        <w:rPr>
          <w:i/>
          <w:iCs/>
        </w:rPr>
        <w:t>The Final Call to Islam</w:t>
      </w:r>
      <w:r w:rsidRPr="00D1090A">
        <w:t>, 25 August.</w:t>
      </w:r>
    </w:p>
    <w:p w14:paraId="0F613A8A" w14:textId="77777777" w:rsidR="00D1090A" w:rsidRPr="00D1090A" w:rsidRDefault="00D1090A" w:rsidP="004753DD">
      <w:pPr>
        <w:ind w:left="720" w:hanging="720"/>
      </w:pPr>
      <w:r w:rsidRPr="00D1090A">
        <w:t xml:space="preserve">Muhammad, E. (1934d) ‘The Final Call to Islam’, </w:t>
      </w:r>
      <w:r w:rsidRPr="00D1090A">
        <w:rPr>
          <w:i/>
          <w:iCs/>
        </w:rPr>
        <w:t>The Final Call to Islam</w:t>
      </w:r>
      <w:r w:rsidRPr="00D1090A">
        <w:t>, 1 September.</w:t>
      </w:r>
    </w:p>
    <w:p w14:paraId="200F7629" w14:textId="77777777" w:rsidR="00D1090A" w:rsidRPr="00D1090A" w:rsidRDefault="00D1090A" w:rsidP="004753DD">
      <w:pPr>
        <w:ind w:left="720" w:hanging="720"/>
      </w:pPr>
      <w:r w:rsidRPr="00D1090A">
        <w:t>Muhammad, E. (1936) ‘Saviour’s Day Speech: Wilderness of North America’. Detroit, Michigan.</w:t>
      </w:r>
    </w:p>
    <w:p w14:paraId="0C34CBF4" w14:textId="77777777" w:rsidR="00D1090A" w:rsidRPr="00D1090A" w:rsidRDefault="00D1090A" w:rsidP="004753DD">
      <w:pPr>
        <w:ind w:left="720" w:hanging="720"/>
      </w:pPr>
      <w:r w:rsidRPr="00D1090A">
        <w:t xml:space="preserve">Muhammad, E. (2008a) </w:t>
      </w:r>
      <w:r w:rsidRPr="00D1090A">
        <w:rPr>
          <w:i/>
          <w:iCs/>
        </w:rPr>
        <w:t xml:space="preserve">How </w:t>
      </w:r>
      <w:proofErr w:type="gramStart"/>
      <w:r w:rsidRPr="00D1090A">
        <w:rPr>
          <w:i/>
          <w:iCs/>
        </w:rPr>
        <w:t>To</w:t>
      </w:r>
      <w:proofErr w:type="gramEnd"/>
      <w:r w:rsidRPr="00D1090A">
        <w:rPr>
          <w:i/>
          <w:iCs/>
        </w:rPr>
        <w:t xml:space="preserve"> Eat </w:t>
      </w:r>
      <w:proofErr w:type="gramStart"/>
      <w:r w:rsidRPr="00D1090A">
        <w:rPr>
          <w:i/>
          <w:iCs/>
        </w:rPr>
        <w:t>To</w:t>
      </w:r>
      <w:proofErr w:type="gramEnd"/>
      <w:r w:rsidRPr="00D1090A">
        <w:rPr>
          <w:i/>
          <w:iCs/>
        </w:rPr>
        <w:t xml:space="preserve"> Live, Book 1</w:t>
      </w:r>
      <w:r w:rsidRPr="00D1090A">
        <w:t xml:space="preserve">. Phoenix, AZ: </w:t>
      </w:r>
      <w:proofErr w:type="spellStart"/>
      <w:r w:rsidRPr="00D1090A">
        <w:t>Secretarius</w:t>
      </w:r>
      <w:proofErr w:type="spellEnd"/>
      <w:r w:rsidRPr="00D1090A">
        <w:t xml:space="preserve"> MEMPS Publications.</w:t>
      </w:r>
    </w:p>
    <w:p w14:paraId="608106F0" w14:textId="77777777" w:rsidR="00D1090A" w:rsidRPr="00D1090A" w:rsidRDefault="00D1090A" w:rsidP="004753DD">
      <w:pPr>
        <w:ind w:left="720" w:hanging="720"/>
      </w:pPr>
      <w:r w:rsidRPr="00D1090A">
        <w:t xml:space="preserve">Muhammad, E. (2008b) </w:t>
      </w:r>
      <w:r w:rsidRPr="00D1090A">
        <w:rPr>
          <w:i/>
          <w:iCs/>
        </w:rPr>
        <w:t xml:space="preserve">How </w:t>
      </w:r>
      <w:proofErr w:type="gramStart"/>
      <w:r w:rsidRPr="00D1090A">
        <w:rPr>
          <w:i/>
          <w:iCs/>
        </w:rPr>
        <w:t>To</w:t>
      </w:r>
      <w:proofErr w:type="gramEnd"/>
      <w:r w:rsidRPr="00D1090A">
        <w:rPr>
          <w:i/>
          <w:iCs/>
        </w:rPr>
        <w:t xml:space="preserve"> Eat </w:t>
      </w:r>
      <w:proofErr w:type="gramStart"/>
      <w:r w:rsidRPr="00D1090A">
        <w:rPr>
          <w:i/>
          <w:iCs/>
        </w:rPr>
        <w:t>To</w:t>
      </w:r>
      <w:proofErr w:type="gramEnd"/>
      <w:r w:rsidRPr="00D1090A">
        <w:rPr>
          <w:i/>
          <w:iCs/>
        </w:rPr>
        <w:t xml:space="preserve"> Live, Book 2</w:t>
      </w:r>
      <w:r w:rsidRPr="00D1090A">
        <w:t xml:space="preserve">. Phoenix, AZ: </w:t>
      </w:r>
      <w:proofErr w:type="spellStart"/>
      <w:r w:rsidRPr="00D1090A">
        <w:t>Secretarius</w:t>
      </w:r>
      <w:proofErr w:type="spellEnd"/>
      <w:r w:rsidRPr="00D1090A">
        <w:t xml:space="preserve"> MEMPS Publications.</w:t>
      </w:r>
    </w:p>
    <w:p w14:paraId="50F400F9" w14:textId="77777777" w:rsidR="00D1090A" w:rsidRPr="00D1090A" w:rsidRDefault="00D1090A" w:rsidP="004753DD">
      <w:pPr>
        <w:ind w:left="720" w:hanging="720"/>
      </w:pPr>
      <w:r w:rsidRPr="00D1090A">
        <w:t xml:space="preserve">Muhammad, E. (2009) </w:t>
      </w:r>
      <w:r w:rsidRPr="00D1090A">
        <w:rPr>
          <w:i/>
          <w:iCs/>
        </w:rPr>
        <w:t>Message to the Blackman in America</w:t>
      </w:r>
      <w:r w:rsidRPr="00D1090A">
        <w:t xml:space="preserve">. Phoenix, AZ: </w:t>
      </w:r>
      <w:proofErr w:type="spellStart"/>
      <w:r w:rsidRPr="00D1090A">
        <w:t>Secretarius</w:t>
      </w:r>
      <w:proofErr w:type="spellEnd"/>
      <w:r w:rsidRPr="00D1090A">
        <w:t xml:space="preserve"> MEMPS Ministries.</w:t>
      </w:r>
    </w:p>
    <w:p w14:paraId="3BD63DDA" w14:textId="77777777" w:rsidR="00D1090A" w:rsidRPr="00D1090A" w:rsidRDefault="00D1090A" w:rsidP="004753DD">
      <w:pPr>
        <w:ind w:left="720" w:hanging="720"/>
      </w:pPr>
      <w:r w:rsidRPr="00D1090A">
        <w:t xml:space="preserve">Muhammad, E.A. (2021) ‘Countering the “Phenomenology of Whiteness”: The Nation of Islam’s Phenomenology of Blackness’, </w:t>
      </w:r>
      <w:r w:rsidRPr="00D1090A">
        <w:rPr>
          <w:i/>
          <w:iCs/>
        </w:rPr>
        <w:t>Puncta</w:t>
      </w:r>
      <w:r w:rsidRPr="00D1090A">
        <w:t xml:space="preserve">, 4(1), pp. 19–37. Available at: </w:t>
      </w:r>
      <w:hyperlink r:id="rId26" w:history="1">
        <w:r w:rsidRPr="00D1090A">
          <w:rPr>
            <w:rStyle w:val="Hyperlink"/>
          </w:rPr>
          <w:t>https://doi.org/10.5399/PJCP.v4i1.2</w:t>
        </w:r>
      </w:hyperlink>
      <w:r w:rsidRPr="00D1090A">
        <w:t>.</w:t>
      </w:r>
    </w:p>
    <w:p w14:paraId="250FB587" w14:textId="77777777" w:rsidR="00D1090A" w:rsidRPr="00D1090A" w:rsidRDefault="00D1090A" w:rsidP="004753DD">
      <w:pPr>
        <w:ind w:left="720" w:hanging="720"/>
      </w:pPr>
      <w:r w:rsidRPr="00D1090A">
        <w:lastRenderedPageBreak/>
        <w:t>Muhammad, F. (1933a) ‘Letter to Elijah Mohammed (December 18, 1933)’.</w:t>
      </w:r>
    </w:p>
    <w:p w14:paraId="66B3D402" w14:textId="77777777" w:rsidR="00D1090A" w:rsidRPr="00D1090A" w:rsidRDefault="00D1090A" w:rsidP="004753DD">
      <w:pPr>
        <w:ind w:left="720" w:hanging="720"/>
      </w:pPr>
      <w:r w:rsidRPr="00D1090A">
        <w:t>Muhammad, F. (1933b) ‘Letter to Elijah Mohammed (September 7, 1933)’.</w:t>
      </w:r>
    </w:p>
    <w:p w14:paraId="1BD93402" w14:textId="77777777" w:rsidR="00D1090A" w:rsidRPr="00D1090A" w:rsidRDefault="00D1090A" w:rsidP="004753DD">
      <w:pPr>
        <w:ind w:left="720" w:hanging="720"/>
      </w:pPr>
      <w:r w:rsidRPr="00D1090A">
        <w:t xml:space="preserve">Muhammad, F. (1934) </w:t>
      </w:r>
      <w:r w:rsidRPr="00D1090A">
        <w:rPr>
          <w:i/>
          <w:iCs/>
        </w:rPr>
        <w:t>The Supreme Wisdom Lessons</w:t>
      </w:r>
      <w:r w:rsidRPr="00D1090A">
        <w:t xml:space="preserve">. Detroit, Michigan: The Lost-Found Nation of Islam in North America. Available at: </w:t>
      </w:r>
      <w:hyperlink r:id="rId27" w:history="1">
        <w:r w:rsidRPr="00D1090A">
          <w:rPr>
            <w:rStyle w:val="Hyperlink"/>
          </w:rPr>
          <w:t>https://www.ciphertheory.net/supremewisdom.pdf</w:t>
        </w:r>
      </w:hyperlink>
      <w:r w:rsidRPr="00D1090A">
        <w:t>.</w:t>
      </w:r>
    </w:p>
    <w:p w14:paraId="76ACFE0D" w14:textId="77777777" w:rsidR="00D1090A" w:rsidRPr="00D1090A" w:rsidRDefault="00D1090A" w:rsidP="004753DD">
      <w:pPr>
        <w:ind w:left="720" w:hanging="720"/>
      </w:pPr>
      <w:r w:rsidRPr="00D1090A">
        <w:t xml:space="preserve">Muhammad, L.M. (2022) </w:t>
      </w:r>
      <w:r w:rsidRPr="00D1090A">
        <w:rPr>
          <w:i/>
          <w:iCs/>
        </w:rPr>
        <w:t>Elijah Muhammad and Supreme Literacy: Lessons in Supreme Knowledge, Wisdom, and Understanding</w:t>
      </w:r>
      <w:r w:rsidRPr="00D1090A">
        <w:t>. Lanham, MD: Hamilton Books.</w:t>
      </w:r>
    </w:p>
    <w:p w14:paraId="659B23F1" w14:textId="77777777" w:rsidR="00D1090A" w:rsidRPr="00D1090A" w:rsidRDefault="00D1090A" w:rsidP="004753DD">
      <w:pPr>
        <w:ind w:left="720" w:hanging="720"/>
      </w:pPr>
      <w:r w:rsidRPr="00D1090A">
        <w:t xml:space="preserve">Muhammad, W. (1934) ‘The Educational Department of Islam’, </w:t>
      </w:r>
      <w:r w:rsidRPr="00D1090A">
        <w:rPr>
          <w:i/>
          <w:iCs/>
        </w:rPr>
        <w:t>The Final Call to Islam</w:t>
      </w:r>
      <w:r w:rsidRPr="00D1090A">
        <w:t>, 11 August.</w:t>
      </w:r>
    </w:p>
    <w:p w14:paraId="0BBED20F" w14:textId="77777777" w:rsidR="00D1090A" w:rsidRPr="00D1090A" w:rsidRDefault="00D1090A" w:rsidP="004753DD">
      <w:pPr>
        <w:ind w:left="720" w:hanging="720"/>
      </w:pPr>
      <w:r w:rsidRPr="00D1090A">
        <w:t xml:space="preserve">Novak, D.A. (2014) </w:t>
      </w:r>
      <w:r w:rsidRPr="00D1090A">
        <w:rPr>
          <w:i/>
          <w:iCs/>
        </w:rPr>
        <w:t>The Wheel of Servitude: Black Forced Labor after Slavery</w:t>
      </w:r>
      <w:r w:rsidRPr="00D1090A">
        <w:t xml:space="preserve">. Lexington: University Press of Kentucky. Available at: </w:t>
      </w:r>
      <w:hyperlink r:id="rId28" w:history="1">
        <w:r w:rsidRPr="00D1090A">
          <w:rPr>
            <w:rStyle w:val="Hyperlink"/>
          </w:rPr>
          <w:t>http://ebookcentral.proquest.com/lib/kcl/detail.action?docID=1915862</w:t>
        </w:r>
      </w:hyperlink>
      <w:r w:rsidRPr="00D1090A">
        <w:t xml:space="preserve"> (Accessed: 19 June 2026).</w:t>
      </w:r>
    </w:p>
    <w:p w14:paraId="328D4671" w14:textId="77777777" w:rsidR="00D1090A" w:rsidRPr="00D1090A" w:rsidRDefault="00D1090A" w:rsidP="004753DD">
      <w:pPr>
        <w:ind w:left="720" w:hanging="720"/>
      </w:pPr>
      <w:r w:rsidRPr="00D1090A">
        <w:t xml:space="preserve">Patterson, O. (1982) </w:t>
      </w:r>
      <w:r w:rsidRPr="00D1090A">
        <w:rPr>
          <w:i/>
          <w:iCs/>
        </w:rPr>
        <w:t>Slavery and Social Death: A Comparative Study</w:t>
      </w:r>
      <w:r w:rsidRPr="00D1090A">
        <w:t xml:space="preserve">. Cambridge, MA: Harvard University Press. Available at: </w:t>
      </w:r>
      <w:hyperlink r:id="rId29" w:history="1">
        <w:r w:rsidRPr="00D1090A">
          <w:rPr>
            <w:rStyle w:val="Hyperlink"/>
          </w:rPr>
          <w:t>https://hdl.handle.net/2027/heb03237.0001.001</w:t>
        </w:r>
      </w:hyperlink>
      <w:r w:rsidRPr="00D1090A">
        <w:t xml:space="preserve"> (Accessed: 11 June 2026).</w:t>
      </w:r>
    </w:p>
    <w:p w14:paraId="70D43158" w14:textId="77777777" w:rsidR="00D1090A" w:rsidRPr="00D1090A" w:rsidRDefault="00D1090A" w:rsidP="004753DD">
      <w:pPr>
        <w:ind w:left="720" w:hanging="720"/>
      </w:pPr>
      <w:r w:rsidRPr="00D1090A">
        <w:t xml:space="preserve">Puchalik, A. (2026) ‘Freedom Through Religion: How the Nation of Islam Sparked the Modern Prisoners’ Rights Movement’, </w:t>
      </w:r>
      <w:r w:rsidRPr="00D1090A">
        <w:rPr>
          <w:i/>
          <w:iCs/>
        </w:rPr>
        <w:t>Journal of Theta Alpha Kappa</w:t>
      </w:r>
      <w:r w:rsidRPr="00D1090A">
        <w:t>, 50(1), pp. 16–31.</w:t>
      </w:r>
    </w:p>
    <w:p w14:paraId="1775E413" w14:textId="77777777" w:rsidR="00D1090A" w:rsidRPr="00D1090A" w:rsidRDefault="00D1090A" w:rsidP="004753DD">
      <w:pPr>
        <w:ind w:left="720" w:hanging="720"/>
      </w:pPr>
      <w:r w:rsidRPr="00D1090A">
        <w:t xml:space="preserve">Roosevelt, B. (1965) ‘The Messenger Showed Me the Way to a Better Life’, </w:t>
      </w:r>
      <w:r w:rsidRPr="00D1090A">
        <w:rPr>
          <w:i/>
          <w:iCs/>
        </w:rPr>
        <w:t>Muhammad Speaks</w:t>
      </w:r>
      <w:r w:rsidRPr="00D1090A">
        <w:t>, 4(41), p. 25.</w:t>
      </w:r>
    </w:p>
    <w:p w14:paraId="20BB5DFC" w14:textId="77777777" w:rsidR="00D1090A" w:rsidRPr="00D1090A" w:rsidRDefault="00D1090A" w:rsidP="004753DD">
      <w:pPr>
        <w:ind w:left="720" w:hanging="720"/>
      </w:pPr>
      <w:r w:rsidRPr="00D1090A">
        <w:t xml:space="preserve">Sahib, H.A. (1995) ‘The Nation of Islam’, </w:t>
      </w:r>
      <w:r w:rsidRPr="00D1090A">
        <w:rPr>
          <w:i/>
          <w:iCs/>
        </w:rPr>
        <w:t>Islam &amp; the African American Connection: Perspectives New &amp; Old</w:t>
      </w:r>
      <w:r w:rsidRPr="00D1090A">
        <w:t>, 13(3), pp. 1–113.</w:t>
      </w:r>
    </w:p>
    <w:p w14:paraId="4F113F0C" w14:textId="77777777" w:rsidR="00D1090A" w:rsidRPr="00D1090A" w:rsidRDefault="00D1090A" w:rsidP="004753DD">
      <w:pPr>
        <w:ind w:left="720" w:hanging="720"/>
      </w:pPr>
      <w:r w:rsidRPr="00D1090A">
        <w:t xml:space="preserve">Schmidt, R. (2000) </w:t>
      </w:r>
      <w:r w:rsidRPr="00D1090A">
        <w:rPr>
          <w:i/>
          <w:iCs/>
        </w:rPr>
        <w:t>Red scare: FBI and the origins of anticommunism in the United States, 1919-1943</w:t>
      </w:r>
      <w:r w:rsidRPr="00D1090A">
        <w:t xml:space="preserve">. Copenhagen: Museum </w:t>
      </w:r>
      <w:proofErr w:type="spellStart"/>
      <w:r w:rsidRPr="00D1090A">
        <w:t>Tusculanum</w:t>
      </w:r>
      <w:proofErr w:type="spellEnd"/>
      <w:r w:rsidRPr="00D1090A">
        <w:t xml:space="preserve"> Press, University of Copenhagen.</w:t>
      </w:r>
    </w:p>
    <w:p w14:paraId="63AC9988" w14:textId="77777777" w:rsidR="00D1090A" w:rsidRPr="00D1090A" w:rsidRDefault="00D1090A" w:rsidP="004753DD">
      <w:pPr>
        <w:ind w:left="720" w:hanging="720"/>
      </w:pPr>
      <w:r w:rsidRPr="00D1090A">
        <w:t xml:space="preserve">Sharrieff, B. (1934a) ‘Reduce and Be Cured of Your Aliments’, </w:t>
      </w:r>
      <w:r w:rsidRPr="00D1090A">
        <w:rPr>
          <w:i/>
          <w:iCs/>
        </w:rPr>
        <w:t>The Final Call to Islam</w:t>
      </w:r>
      <w:r w:rsidRPr="00D1090A">
        <w:t>, 25 August.</w:t>
      </w:r>
    </w:p>
    <w:p w14:paraId="6F8ADF01" w14:textId="77777777" w:rsidR="00D1090A" w:rsidRPr="00D1090A" w:rsidRDefault="00D1090A" w:rsidP="004753DD">
      <w:pPr>
        <w:ind w:left="720" w:hanging="720"/>
      </w:pPr>
      <w:r w:rsidRPr="00D1090A">
        <w:t xml:space="preserve">Sharrieff, B. (1934b) ‘The Dangerousness of Overweight’, </w:t>
      </w:r>
      <w:r w:rsidRPr="00D1090A">
        <w:rPr>
          <w:i/>
          <w:iCs/>
        </w:rPr>
        <w:t>The Final Call to Islam</w:t>
      </w:r>
      <w:r w:rsidRPr="00D1090A">
        <w:t>, 1 September.</w:t>
      </w:r>
    </w:p>
    <w:p w14:paraId="3D9A1915" w14:textId="77777777" w:rsidR="00D1090A" w:rsidRPr="00D1090A" w:rsidRDefault="00D1090A" w:rsidP="004753DD">
      <w:pPr>
        <w:ind w:left="720" w:hanging="720"/>
      </w:pPr>
      <w:r w:rsidRPr="00D1090A">
        <w:t xml:space="preserve">Smallwood, S.E. (2008) </w:t>
      </w:r>
      <w:r w:rsidRPr="00D1090A">
        <w:rPr>
          <w:i/>
          <w:iCs/>
        </w:rPr>
        <w:t>Saltwater Slavery: A Middle Passage from Africa to American Diaspora</w:t>
      </w:r>
      <w:r w:rsidRPr="00D1090A">
        <w:t xml:space="preserve">. Cambridge, MA: Harvard University Press. Available at: </w:t>
      </w:r>
      <w:hyperlink r:id="rId30" w:history="1">
        <w:r w:rsidRPr="00D1090A">
          <w:rPr>
            <w:rStyle w:val="Hyperlink"/>
          </w:rPr>
          <w:t>http://ebookcentral.proquest.com/lib/kcl/detail.action?docID=3300396</w:t>
        </w:r>
      </w:hyperlink>
      <w:r w:rsidRPr="00D1090A">
        <w:t xml:space="preserve"> (Accessed: 19 June 2026).</w:t>
      </w:r>
    </w:p>
    <w:p w14:paraId="5BC10DDF" w14:textId="77777777" w:rsidR="00D1090A" w:rsidRPr="00D1090A" w:rsidRDefault="00D1090A" w:rsidP="004753DD">
      <w:pPr>
        <w:ind w:left="720" w:hanging="720"/>
      </w:pPr>
      <w:r w:rsidRPr="00D1090A">
        <w:t xml:space="preserve">Smith, C. (1996) ‘Correcting a Curious Neglect, or Bringing Religion Back In’, in C. Smith (ed.) </w:t>
      </w:r>
      <w:r w:rsidRPr="00D1090A">
        <w:rPr>
          <w:i/>
          <w:iCs/>
        </w:rPr>
        <w:t>Disruptive Religion: The Force of Faith in Social Movement Activism</w:t>
      </w:r>
      <w:r w:rsidRPr="00D1090A">
        <w:t>. New York: Routledge, pp. 1–25.</w:t>
      </w:r>
    </w:p>
    <w:p w14:paraId="183E1CA6" w14:textId="77777777" w:rsidR="00D1090A" w:rsidRPr="00D1090A" w:rsidRDefault="00D1090A" w:rsidP="004753DD">
      <w:pPr>
        <w:ind w:left="720" w:hanging="720"/>
      </w:pPr>
      <w:r w:rsidRPr="00D1090A">
        <w:t xml:space="preserve">Stark, R. and Bainbridge, W.S. (1987) </w:t>
      </w:r>
      <w:r w:rsidRPr="00D1090A">
        <w:rPr>
          <w:i/>
          <w:iCs/>
        </w:rPr>
        <w:t>A Theory of Religion</w:t>
      </w:r>
      <w:r w:rsidRPr="00D1090A">
        <w:t>. New York: Peter Lang.</w:t>
      </w:r>
    </w:p>
    <w:p w14:paraId="21DDD0B7" w14:textId="77777777" w:rsidR="00D1090A" w:rsidRPr="00D1090A" w:rsidRDefault="00D1090A" w:rsidP="004753DD">
      <w:pPr>
        <w:ind w:left="720" w:hanging="720"/>
      </w:pPr>
      <w:r w:rsidRPr="00D1090A">
        <w:t xml:space="preserve">Sundstrom, W.A. (1992) ‘Last Hired, First Fired? Unemployment and Urban Black Workers During the Great Depression’, </w:t>
      </w:r>
      <w:r w:rsidRPr="00D1090A">
        <w:rPr>
          <w:i/>
          <w:iCs/>
        </w:rPr>
        <w:t>The Journal of Economic History</w:t>
      </w:r>
      <w:r w:rsidRPr="00D1090A">
        <w:t>, 52(2), pp. 415–429.</w:t>
      </w:r>
    </w:p>
    <w:p w14:paraId="559CD019" w14:textId="77777777" w:rsidR="00D1090A" w:rsidRPr="00D1090A" w:rsidRDefault="00D1090A" w:rsidP="004753DD">
      <w:pPr>
        <w:ind w:left="720" w:hanging="720"/>
      </w:pPr>
      <w:r w:rsidRPr="00D1090A">
        <w:t xml:space="preserve">Tinaz, N. (1996) ‘The Nation of Islam: Historical Evolution and Transformation of the Movement’, </w:t>
      </w:r>
      <w:r w:rsidRPr="00D1090A">
        <w:rPr>
          <w:i/>
          <w:iCs/>
        </w:rPr>
        <w:t>Journal of Muslim Minority Affairs</w:t>
      </w:r>
      <w:r w:rsidRPr="00D1090A">
        <w:t xml:space="preserve">, 16(2), pp. 193–209. Available at: </w:t>
      </w:r>
      <w:hyperlink r:id="rId31" w:history="1">
        <w:r w:rsidRPr="00D1090A">
          <w:rPr>
            <w:rStyle w:val="Hyperlink"/>
          </w:rPr>
          <w:t>https://doi.org/10.1080/13602009608716338</w:t>
        </w:r>
      </w:hyperlink>
      <w:r w:rsidRPr="00D1090A">
        <w:t>.</w:t>
      </w:r>
    </w:p>
    <w:p w14:paraId="7BE84431" w14:textId="77777777" w:rsidR="00D1090A" w:rsidRPr="00D1090A" w:rsidRDefault="00D1090A" w:rsidP="004753DD">
      <w:pPr>
        <w:ind w:left="720" w:hanging="720"/>
      </w:pPr>
      <w:r w:rsidRPr="00D1090A">
        <w:rPr>
          <w:i/>
          <w:iCs/>
        </w:rPr>
        <w:lastRenderedPageBreak/>
        <w:t>United States v. Ballard</w:t>
      </w:r>
      <w:r w:rsidRPr="00D1090A">
        <w:t xml:space="preserve"> (1944) </w:t>
      </w:r>
      <w:r w:rsidRPr="00D1090A">
        <w:rPr>
          <w:i/>
          <w:iCs/>
        </w:rPr>
        <w:t>U.S.</w:t>
      </w:r>
    </w:p>
    <w:p w14:paraId="188D0856" w14:textId="77777777" w:rsidR="00D1090A" w:rsidRPr="00D1090A" w:rsidRDefault="00D1090A" w:rsidP="004753DD">
      <w:pPr>
        <w:ind w:left="720" w:hanging="720"/>
      </w:pPr>
      <w:r w:rsidRPr="00D1090A">
        <w:t xml:space="preserve">Washburn, P.S. (1986) </w:t>
      </w:r>
      <w:r w:rsidRPr="00D1090A">
        <w:rPr>
          <w:i/>
          <w:iCs/>
        </w:rPr>
        <w:t>A Question of Sedition: The Federal Government’s Investigation of the Black Press During World War II</w:t>
      </w:r>
      <w:r w:rsidRPr="00D1090A">
        <w:t>. New York: Oxford University Press.</w:t>
      </w:r>
    </w:p>
    <w:p w14:paraId="75857A85" w14:textId="77777777" w:rsidR="00D1090A" w:rsidRPr="00D1090A" w:rsidRDefault="00D1090A" w:rsidP="004753DD">
      <w:pPr>
        <w:ind w:left="720" w:hanging="720"/>
      </w:pPr>
      <w:r w:rsidRPr="00D1090A">
        <w:t xml:space="preserve">Weber, M. (1963) </w:t>
      </w:r>
      <w:r w:rsidRPr="00D1090A">
        <w:rPr>
          <w:i/>
          <w:iCs/>
        </w:rPr>
        <w:t>The Sociology of Religion</w:t>
      </w:r>
      <w:r w:rsidRPr="00D1090A">
        <w:t>. Translated by E. Fischoff. Massachusetts: Beacon Press.</w:t>
      </w:r>
    </w:p>
    <w:p w14:paraId="1CBA31C3" w14:textId="77777777" w:rsidR="00D1090A" w:rsidRPr="00D1090A" w:rsidRDefault="00D1090A" w:rsidP="004753DD">
      <w:pPr>
        <w:ind w:left="720" w:hanging="720"/>
      </w:pPr>
      <w:r w:rsidRPr="00D1090A">
        <w:t xml:space="preserve">Whitehead, A.N. (1926) </w:t>
      </w:r>
      <w:r w:rsidRPr="00D1090A">
        <w:rPr>
          <w:i/>
          <w:iCs/>
        </w:rPr>
        <w:t>Religion in the Making</w:t>
      </w:r>
      <w:r w:rsidRPr="00D1090A">
        <w:t>. New York: Macmillan.</w:t>
      </w:r>
    </w:p>
    <w:p w14:paraId="2E13B99E" w14:textId="77777777" w:rsidR="00D1090A" w:rsidRPr="00D1090A" w:rsidRDefault="00D1090A" w:rsidP="004753DD">
      <w:pPr>
        <w:ind w:left="720" w:hanging="720"/>
      </w:pPr>
      <w:r w:rsidRPr="00D1090A">
        <w:t xml:space="preserve">Whitford, D.M. (2009) </w:t>
      </w:r>
      <w:r w:rsidRPr="00D1090A">
        <w:rPr>
          <w:i/>
          <w:iCs/>
        </w:rPr>
        <w:t>The curse of Ham in the early modern era: the Bible and the justifications for slavery</w:t>
      </w:r>
      <w:r w:rsidRPr="00D1090A">
        <w:t>. Farnham, England: Ashgate Pub. Ltd (St. Andrews studies in Reformation history).</w:t>
      </w:r>
    </w:p>
    <w:p w14:paraId="50B9410F" w14:textId="77777777" w:rsidR="00D1090A" w:rsidRPr="00D1090A" w:rsidRDefault="00D1090A" w:rsidP="00D1090A"/>
    <w:sectPr w:rsidR="00D1090A" w:rsidRPr="00D1090A" w:rsidSect="001A223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B58B" w14:textId="77777777" w:rsidR="00FE1C2D" w:rsidRDefault="00FE1C2D" w:rsidP="00080B64">
      <w:pPr>
        <w:spacing w:after="0" w:line="240" w:lineRule="auto"/>
      </w:pPr>
      <w:r>
        <w:separator/>
      </w:r>
    </w:p>
  </w:endnote>
  <w:endnote w:type="continuationSeparator" w:id="0">
    <w:p w14:paraId="14CCFD75" w14:textId="77777777" w:rsidR="00FE1C2D" w:rsidRDefault="00FE1C2D" w:rsidP="00080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457528"/>
      <w:docPartObj>
        <w:docPartGallery w:val="Page Numbers (Bottom of Page)"/>
        <w:docPartUnique/>
      </w:docPartObj>
    </w:sdtPr>
    <w:sdtEndPr>
      <w:rPr>
        <w:noProof/>
      </w:rPr>
    </w:sdtEndPr>
    <w:sdtContent>
      <w:p w14:paraId="7FCAE8C9" w14:textId="72EF249B" w:rsidR="003B0BEF" w:rsidRDefault="003B0BEF">
        <w:pPr>
          <w:pStyle w:val="Footer"/>
          <w:jc w:val="center"/>
        </w:pPr>
        <w:r w:rsidRPr="003B0BEF">
          <w:rPr>
            <w:sz w:val="20"/>
            <w:szCs w:val="22"/>
          </w:rPr>
          <w:fldChar w:fldCharType="begin"/>
        </w:r>
        <w:r w:rsidRPr="003B0BEF">
          <w:rPr>
            <w:sz w:val="20"/>
            <w:szCs w:val="22"/>
          </w:rPr>
          <w:instrText xml:space="preserve"> PAGE   \* MERGEFORMAT </w:instrText>
        </w:r>
        <w:r w:rsidRPr="003B0BEF">
          <w:rPr>
            <w:sz w:val="20"/>
            <w:szCs w:val="22"/>
          </w:rPr>
          <w:fldChar w:fldCharType="separate"/>
        </w:r>
        <w:r w:rsidRPr="003B0BEF">
          <w:rPr>
            <w:noProof/>
            <w:sz w:val="20"/>
            <w:szCs w:val="22"/>
          </w:rPr>
          <w:t>2</w:t>
        </w:r>
        <w:r w:rsidRPr="003B0BEF">
          <w:rPr>
            <w:noProof/>
            <w:sz w:val="20"/>
            <w:szCs w:val="22"/>
          </w:rPr>
          <w:fldChar w:fldCharType="end"/>
        </w:r>
      </w:p>
    </w:sdtContent>
  </w:sdt>
  <w:p w14:paraId="5525BCCE" w14:textId="77777777" w:rsidR="003B0BEF" w:rsidRDefault="003B0B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968FD" w14:textId="77777777" w:rsidR="00FE1C2D" w:rsidRDefault="00FE1C2D" w:rsidP="00080B64">
      <w:pPr>
        <w:spacing w:after="0" w:line="240" w:lineRule="auto"/>
      </w:pPr>
      <w:r>
        <w:separator/>
      </w:r>
    </w:p>
  </w:footnote>
  <w:footnote w:type="continuationSeparator" w:id="0">
    <w:p w14:paraId="7B6F3FCE" w14:textId="77777777" w:rsidR="00FE1C2D" w:rsidRDefault="00FE1C2D" w:rsidP="00080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2A8"/>
    <w:multiLevelType w:val="hybridMultilevel"/>
    <w:tmpl w:val="58869902"/>
    <w:lvl w:ilvl="0" w:tplc="8556AAB6">
      <w:start w:val="1"/>
      <w:numFmt w:val="bullet"/>
      <w:lvlText w:val=""/>
      <w:lvlJc w:val="left"/>
      <w:pPr>
        <w:ind w:left="1120" w:hanging="360"/>
      </w:pPr>
      <w:rPr>
        <w:rFonts w:ascii="Symbol" w:hAnsi="Symbol"/>
      </w:rPr>
    </w:lvl>
    <w:lvl w:ilvl="1" w:tplc="8BF8102C">
      <w:start w:val="1"/>
      <w:numFmt w:val="bullet"/>
      <w:lvlText w:val=""/>
      <w:lvlJc w:val="left"/>
      <w:pPr>
        <w:ind w:left="1120" w:hanging="360"/>
      </w:pPr>
      <w:rPr>
        <w:rFonts w:ascii="Symbol" w:hAnsi="Symbol"/>
      </w:rPr>
    </w:lvl>
    <w:lvl w:ilvl="2" w:tplc="B39E2CC4">
      <w:start w:val="1"/>
      <w:numFmt w:val="bullet"/>
      <w:lvlText w:val=""/>
      <w:lvlJc w:val="left"/>
      <w:pPr>
        <w:ind w:left="1120" w:hanging="360"/>
      </w:pPr>
      <w:rPr>
        <w:rFonts w:ascii="Symbol" w:hAnsi="Symbol"/>
      </w:rPr>
    </w:lvl>
    <w:lvl w:ilvl="3" w:tplc="D6A866FA">
      <w:start w:val="1"/>
      <w:numFmt w:val="bullet"/>
      <w:lvlText w:val=""/>
      <w:lvlJc w:val="left"/>
      <w:pPr>
        <w:ind w:left="1120" w:hanging="360"/>
      </w:pPr>
      <w:rPr>
        <w:rFonts w:ascii="Symbol" w:hAnsi="Symbol"/>
      </w:rPr>
    </w:lvl>
    <w:lvl w:ilvl="4" w:tplc="F4EEF0BA">
      <w:start w:val="1"/>
      <w:numFmt w:val="bullet"/>
      <w:lvlText w:val=""/>
      <w:lvlJc w:val="left"/>
      <w:pPr>
        <w:ind w:left="1120" w:hanging="360"/>
      </w:pPr>
      <w:rPr>
        <w:rFonts w:ascii="Symbol" w:hAnsi="Symbol"/>
      </w:rPr>
    </w:lvl>
    <w:lvl w:ilvl="5" w:tplc="C55A8D84">
      <w:start w:val="1"/>
      <w:numFmt w:val="bullet"/>
      <w:lvlText w:val=""/>
      <w:lvlJc w:val="left"/>
      <w:pPr>
        <w:ind w:left="1120" w:hanging="360"/>
      </w:pPr>
      <w:rPr>
        <w:rFonts w:ascii="Symbol" w:hAnsi="Symbol"/>
      </w:rPr>
    </w:lvl>
    <w:lvl w:ilvl="6" w:tplc="AB242DFC">
      <w:start w:val="1"/>
      <w:numFmt w:val="bullet"/>
      <w:lvlText w:val=""/>
      <w:lvlJc w:val="left"/>
      <w:pPr>
        <w:ind w:left="1120" w:hanging="360"/>
      </w:pPr>
      <w:rPr>
        <w:rFonts w:ascii="Symbol" w:hAnsi="Symbol"/>
      </w:rPr>
    </w:lvl>
    <w:lvl w:ilvl="7" w:tplc="A49A31B8">
      <w:start w:val="1"/>
      <w:numFmt w:val="bullet"/>
      <w:lvlText w:val=""/>
      <w:lvlJc w:val="left"/>
      <w:pPr>
        <w:ind w:left="1120" w:hanging="360"/>
      </w:pPr>
      <w:rPr>
        <w:rFonts w:ascii="Symbol" w:hAnsi="Symbol"/>
      </w:rPr>
    </w:lvl>
    <w:lvl w:ilvl="8" w:tplc="B5C25552">
      <w:start w:val="1"/>
      <w:numFmt w:val="bullet"/>
      <w:lvlText w:val=""/>
      <w:lvlJc w:val="left"/>
      <w:pPr>
        <w:ind w:left="1120" w:hanging="360"/>
      </w:pPr>
      <w:rPr>
        <w:rFonts w:ascii="Symbol" w:hAnsi="Symbol"/>
      </w:rPr>
    </w:lvl>
  </w:abstractNum>
  <w:abstractNum w:abstractNumId="1" w15:restartNumberingAfterBreak="0">
    <w:nsid w:val="05FE1617"/>
    <w:multiLevelType w:val="hybridMultilevel"/>
    <w:tmpl w:val="28FE014C"/>
    <w:lvl w:ilvl="0" w:tplc="0FBC197A">
      <w:start w:val="1"/>
      <w:numFmt w:val="bullet"/>
      <w:lvlText w:val=""/>
      <w:lvlJc w:val="left"/>
      <w:pPr>
        <w:ind w:left="720" w:hanging="360"/>
      </w:pPr>
      <w:rPr>
        <w:rFonts w:ascii="Symbol" w:hAnsi="Symbol"/>
      </w:rPr>
    </w:lvl>
    <w:lvl w:ilvl="1" w:tplc="CA8630BC">
      <w:start w:val="1"/>
      <w:numFmt w:val="bullet"/>
      <w:lvlText w:val=""/>
      <w:lvlJc w:val="left"/>
      <w:pPr>
        <w:ind w:left="720" w:hanging="360"/>
      </w:pPr>
      <w:rPr>
        <w:rFonts w:ascii="Symbol" w:hAnsi="Symbol"/>
      </w:rPr>
    </w:lvl>
    <w:lvl w:ilvl="2" w:tplc="E67E1BCE">
      <w:start w:val="1"/>
      <w:numFmt w:val="bullet"/>
      <w:lvlText w:val=""/>
      <w:lvlJc w:val="left"/>
      <w:pPr>
        <w:ind w:left="720" w:hanging="360"/>
      </w:pPr>
      <w:rPr>
        <w:rFonts w:ascii="Symbol" w:hAnsi="Symbol"/>
      </w:rPr>
    </w:lvl>
    <w:lvl w:ilvl="3" w:tplc="100C09D0">
      <w:start w:val="1"/>
      <w:numFmt w:val="bullet"/>
      <w:lvlText w:val=""/>
      <w:lvlJc w:val="left"/>
      <w:pPr>
        <w:ind w:left="720" w:hanging="360"/>
      </w:pPr>
      <w:rPr>
        <w:rFonts w:ascii="Symbol" w:hAnsi="Symbol"/>
      </w:rPr>
    </w:lvl>
    <w:lvl w:ilvl="4" w:tplc="EB8E50A0">
      <w:start w:val="1"/>
      <w:numFmt w:val="bullet"/>
      <w:lvlText w:val=""/>
      <w:lvlJc w:val="left"/>
      <w:pPr>
        <w:ind w:left="720" w:hanging="360"/>
      </w:pPr>
      <w:rPr>
        <w:rFonts w:ascii="Symbol" w:hAnsi="Symbol"/>
      </w:rPr>
    </w:lvl>
    <w:lvl w:ilvl="5" w:tplc="611023FE">
      <w:start w:val="1"/>
      <w:numFmt w:val="bullet"/>
      <w:lvlText w:val=""/>
      <w:lvlJc w:val="left"/>
      <w:pPr>
        <w:ind w:left="720" w:hanging="360"/>
      </w:pPr>
      <w:rPr>
        <w:rFonts w:ascii="Symbol" w:hAnsi="Symbol"/>
      </w:rPr>
    </w:lvl>
    <w:lvl w:ilvl="6" w:tplc="28C43F94">
      <w:start w:val="1"/>
      <w:numFmt w:val="bullet"/>
      <w:lvlText w:val=""/>
      <w:lvlJc w:val="left"/>
      <w:pPr>
        <w:ind w:left="720" w:hanging="360"/>
      </w:pPr>
      <w:rPr>
        <w:rFonts w:ascii="Symbol" w:hAnsi="Symbol"/>
      </w:rPr>
    </w:lvl>
    <w:lvl w:ilvl="7" w:tplc="669C0AFC">
      <w:start w:val="1"/>
      <w:numFmt w:val="bullet"/>
      <w:lvlText w:val=""/>
      <w:lvlJc w:val="left"/>
      <w:pPr>
        <w:ind w:left="720" w:hanging="360"/>
      </w:pPr>
      <w:rPr>
        <w:rFonts w:ascii="Symbol" w:hAnsi="Symbol"/>
      </w:rPr>
    </w:lvl>
    <w:lvl w:ilvl="8" w:tplc="A2E6F15C">
      <w:start w:val="1"/>
      <w:numFmt w:val="bullet"/>
      <w:lvlText w:val=""/>
      <w:lvlJc w:val="left"/>
      <w:pPr>
        <w:ind w:left="720" w:hanging="360"/>
      </w:pPr>
      <w:rPr>
        <w:rFonts w:ascii="Symbol" w:hAnsi="Symbol"/>
      </w:rPr>
    </w:lvl>
  </w:abstractNum>
  <w:abstractNum w:abstractNumId="2" w15:restartNumberingAfterBreak="0">
    <w:nsid w:val="097215C5"/>
    <w:multiLevelType w:val="hybridMultilevel"/>
    <w:tmpl w:val="CF8810B8"/>
    <w:lvl w:ilvl="0" w:tplc="C610C96E">
      <w:start w:val="1"/>
      <w:numFmt w:val="bullet"/>
      <w:lvlText w:val=""/>
      <w:lvlJc w:val="left"/>
      <w:pPr>
        <w:ind w:left="1120" w:hanging="360"/>
      </w:pPr>
      <w:rPr>
        <w:rFonts w:ascii="Symbol" w:hAnsi="Symbol"/>
      </w:rPr>
    </w:lvl>
    <w:lvl w:ilvl="1" w:tplc="FEDE1968">
      <w:start w:val="1"/>
      <w:numFmt w:val="bullet"/>
      <w:lvlText w:val=""/>
      <w:lvlJc w:val="left"/>
      <w:pPr>
        <w:ind w:left="1120" w:hanging="360"/>
      </w:pPr>
      <w:rPr>
        <w:rFonts w:ascii="Symbol" w:hAnsi="Symbol"/>
      </w:rPr>
    </w:lvl>
    <w:lvl w:ilvl="2" w:tplc="EA205512">
      <w:start w:val="1"/>
      <w:numFmt w:val="bullet"/>
      <w:lvlText w:val=""/>
      <w:lvlJc w:val="left"/>
      <w:pPr>
        <w:ind w:left="1120" w:hanging="360"/>
      </w:pPr>
      <w:rPr>
        <w:rFonts w:ascii="Symbol" w:hAnsi="Symbol"/>
      </w:rPr>
    </w:lvl>
    <w:lvl w:ilvl="3" w:tplc="FDD6B720">
      <w:start w:val="1"/>
      <w:numFmt w:val="bullet"/>
      <w:lvlText w:val=""/>
      <w:lvlJc w:val="left"/>
      <w:pPr>
        <w:ind w:left="1120" w:hanging="360"/>
      </w:pPr>
      <w:rPr>
        <w:rFonts w:ascii="Symbol" w:hAnsi="Symbol"/>
      </w:rPr>
    </w:lvl>
    <w:lvl w:ilvl="4" w:tplc="B3C2A36C">
      <w:start w:val="1"/>
      <w:numFmt w:val="bullet"/>
      <w:lvlText w:val=""/>
      <w:lvlJc w:val="left"/>
      <w:pPr>
        <w:ind w:left="1120" w:hanging="360"/>
      </w:pPr>
      <w:rPr>
        <w:rFonts w:ascii="Symbol" w:hAnsi="Symbol"/>
      </w:rPr>
    </w:lvl>
    <w:lvl w:ilvl="5" w:tplc="DAE89B80">
      <w:start w:val="1"/>
      <w:numFmt w:val="bullet"/>
      <w:lvlText w:val=""/>
      <w:lvlJc w:val="left"/>
      <w:pPr>
        <w:ind w:left="1120" w:hanging="360"/>
      </w:pPr>
      <w:rPr>
        <w:rFonts w:ascii="Symbol" w:hAnsi="Symbol"/>
      </w:rPr>
    </w:lvl>
    <w:lvl w:ilvl="6" w:tplc="1C72B4BA">
      <w:start w:val="1"/>
      <w:numFmt w:val="bullet"/>
      <w:lvlText w:val=""/>
      <w:lvlJc w:val="left"/>
      <w:pPr>
        <w:ind w:left="1120" w:hanging="360"/>
      </w:pPr>
      <w:rPr>
        <w:rFonts w:ascii="Symbol" w:hAnsi="Symbol"/>
      </w:rPr>
    </w:lvl>
    <w:lvl w:ilvl="7" w:tplc="BD142EC6">
      <w:start w:val="1"/>
      <w:numFmt w:val="bullet"/>
      <w:lvlText w:val=""/>
      <w:lvlJc w:val="left"/>
      <w:pPr>
        <w:ind w:left="1120" w:hanging="360"/>
      </w:pPr>
      <w:rPr>
        <w:rFonts w:ascii="Symbol" w:hAnsi="Symbol"/>
      </w:rPr>
    </w:lvl>
    <w:lvl w:ilvl="8" w:tplc="F182B3CA">
      <w:start w:val="1"/>
      <w:numFmt w:val="bullet"/>
      <w:lvlText w:val=""/>
      <w:lvlJc w:val="left"/>
      <w:pPr>
        <w:ind w:left="1120" w:hanging="360"/>
      </w:pPr>
      <w:rPr>
        <w:rFonts w:ascii="Symbol" w:hAnsi="Symbol"/>
      </w:rPr>
    </w:lvl>
  </w:abstractNum>
  <w:abstractNum w:abstractNumId="3" w15:restartNumberingAfterBreak="0">
    <w:nsid w:val="101C2A2A"/>
    <w:multiLevelType w:val="hybridMultilevel"/>
    <w:tmpl w:val="5C3A79CA"/>
    <w:lvl w:ilvl="0" w:tplc="3084C4B8">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CE0C65"/>
    <w:multiLevelType w:val="multilevel"/>
    <w:tmpl w:val="54E4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80388"/>
    <w:multiLevelType w:val="multilevel"/>
    <w:tmpl w:val="4FF2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C2C11"/>
    <w:multiLevelType w:val="multilevel"/>
    <w:tmpl w:val="825A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C24B7"/>
    <w:multiLevelType w:val="hybridMultilevel"/>
    <w:tmpl w:val="664AC616"/>
    <w:lvl w:ilvl="0" w:tplc="C18CACC0">
      <w:start w:val="1"/>
      <w:numFmt w:val="bullet"/>
      <w:lvlText w:val=""/>
      <w:lvlJc w:val="left"/>
      <w:pPr>
        <w:ind w:left="1120" w:hanging="360"/>
      </w:pPr>
      <w:rPr>
        <w:rFonts w:ascii="Symbol" w:hAnsi="Symbol"/>
      </w:rPr>
    </w:lvl>
    <w:lvl w:ilvl="1" w:tplc="EB2C97E8">
      <w:start w:val="1"/>
      <w:numFmt w:val="bullet"/>
      <w:lvlText w:val=""/>
      <w:lvlJc w:val="left"/>
      <w:pPr>
        <w:ind w:left="1120" w:hanging="360"/>
      </w:pPr>
      <w:rPr>
        <w:rFonts w:ascii="Symbol" w:hAnsi="Symbol"/>
      </w:rPr>
    </w:lvl>
    <w:lvl w:ilvl="2" w:tplc="12383E36">
      <w:start w:val="1"/>
      <w:numFmt w:val="bullet"/>
      <w:lvlText w:val=""/>
      <w:lvlJc w:val="left"/>
      <w:pPr>
        <w:ind w:left="1120" w:hanging="360"/>
      </w:pPr>
      <w:rPr>
        <w:rFonts w:ascii="Symbol" w:hAnsi="Symbol"/>
      </w:rPr>
    </w:lvl>
    <w:lvl w:ilvl="3" w:tplc="305ED4E0">
      <w:start w:val="1"/>
      <w:numFmt w:val="bullet"/>
      <w:lvlText w:val=""/>
      <w:lvlJc w:val="left"/>
      <w:pPr>
        <w:ind w:left="1120" w:hanging="360"/>
      </w:pPr>
      <w:rPr>
        <w:rFonts w:ascii="Symbol" w:hAnsi="Symbol"/>
      </w:rPr>
    </w:lvl>
    <w:lvl w:ilvl="4" w:tplc="503803C8">
      <w:start w:val="1"/>
      <w:numFmt w:val="bullet"/>
      <w:lvlText w:val=""/>
      <w:lvlJc w:val="left"/>
      <w:pPr>
        <w:ind w:left="1120" w:hanging="360"/>
      </w:pPr>
      <w:rPr>
        <w:rFonts w:ascii="Symbol" w:hAnsi="Symbol"/>
      </w:rPr>
    </w:lvl>
    <w:lvl w:ilvl="5" w:tplc="566278A8">
      <w:start w:val="1"/>
      <w:numFmt w:val="bullet"/>
      <w:lvlText w:val=""/>
      <w:lvlJc w:val="left"/>
      <w:pPr>
        <w:ind w:left="1120" w:hanging="360"/>
      </w:pPr>
      <w:rPr>
        <w:rFonts w:ascii="Symbol" w:hAnsi="Symbol"/>
      </w:rPr>
    </w:lvl>
    <w:lvl w:ilvl="6" w:tplc="24147DCE">
      <w:start w:val="1"/>
      <w:numFmt w:val="bullet"/>
      <w:lvlText w:val=""/>
      <w:lvlJc w:val="left"/>
      <w:pPr>
        <w:ind w:left="1120" w:hanging="360"/>
      </w:pPr>
      <w:rPr>
        <w:rFonts w:ascii="Symbol" w:hAnsi="Symbol"/>
      </w:rPr>
    </w:lvl>
    <w:lvl w:ilvl="7" w:tplc="AD40ECC4">
      <w:start w:val="1"/>
      <w:numFmt w:val="bullet"/>
      <w:lvlText w:val=""/>
      <w:lvlJc w:val="left"/>
      <w:pPr>
        <w:ind w:left="1120" w:hanging="360"/>
      </w:pPr>
      <w:rPr>
        <w:rFonts w:ascii="Symbol" w:hAnsi="Symbol"/>
      </w:rPr>
    </w:lvl>
    <w:lvl w:ilvl="8" w:tplc="B33455D6">
      <w:start w:val="1"/>
      <w:numFmt w:val="bullet"/>
      <w:lvlText w:val=""/>
      <w:lvlJc w:val="left"/>
      <w:pPr>
        <w:ind w:left="1120" w:hanging="360"/>
      </w:pPr>
      <w:rPr>
        <w:rFonts w:ascii="Symbol" w:hAnsi="Symbol"/>
      </w:rPr>
    </w:lvl>
  </w:abstractNum>
  <w:abstractNum w:abstractNumId="8" w15:restartNumberingAfterBreak="0">
    <w:nsid w:val="2B2309FC"/>
    <w:multiLevelType w:val="hybridMultilevel"/>
    <w:tmpl w:val="7DACD4D0"/>
    <w:lvl w:ilvl="0" w:tplc="E1F65C32">
      <w:start w:val="1"/>
      <w:numFmt w:val="bullet"/>
      <w:lvlText w:val=""/>
      <w:lvlJc w:val="left"/>
      <w:pPr>
        <w:ind w:left="1120" w:hanging="360"/>
      </w:pPr>
      <w:rPr>
        <w:rFonts w:ascii="Symbol" w:hAnsi="Symbol"/>
      </w:rPr>
    </w:lvl>
    <w:lvl w:ilvl="1" w:tplc="47529C14">
      <w:start w:val="1"/>
      <w:numFmt w:val="bullet"/>
      <w:lvlText w:val=""/>
      <w:lvlJc w:val="left"/>
      <w:pPr>
        <w:ind w:left="1120" w:hanging="360"/>
      </w:pPr>
      <w:rPr>
        <w:rFonts w:ascii="Symbol" w:hAnsi="Symbol"/>
      </w:rPr>
    </w:lvl>
    <w:lvl w:ilvl="2" w:tplc="1DA81942">
      <w:start w:val="1"/>
      <w:numFmt w:val="bullet"/>
      <w:lvlText w:val=""/>
      <w:lvlJc w:val="left"/>
      <w:pPr>
        <w:ind w:left="1120" w:hanging="360"/>
      </w:pPr>
      <w:rPr>
        <w:rFonts w:ascii="Symbol" w:hAnsi="Symbol"/>
      </w:rPr>
    </w:lvl>
    <w:lvl w:ilvl="3" w:tplc="82D6CEEA">
      <w:start w:val="1"/>
      <w:numFmt w:val="bullet"/>
      <w:lvlText w:val=""/>
      <w:lvlJc w:val="left"/>
      <w:pPr>
        <w:ind w:left="1120" w:hanging="360"/>
      </w:pPr>
      <w:rPr>
        <w:rFonts w:ascii="Symbol" w:hAnsi="Symbol"/>
      </w:rPr>
    </w:lvl>
    <w:lvl w:ilvl="4" w:tplc="7BB8BE30">
      <w:start w:val="1"/>
      <w:numFmt w:val="bullet"/>
      <w:lvlText w:val=""/>
      <w:lvlJc w:val="left"/>
      <w:pPr>
        <w:ind w:left="1120" w:hanging="360"/>
      </w:pPr>
      <w:rPr>
        <w:rFonts w:ascii="Symbol" w:hAnsi="Symbol"/>
      </w:rPr>
    </w:lvl>
    <w:lvl w:ilvl="5" w:tplc="F23450FE">
      <w:start w:val="1"/>
      <w:numFmt w:val="bullet"/>
      <w:lvlText w:val=""/>
      <w:lvlJc w:val="left"/>
      <w:pPr>
        <w:ind w:left="1120" w:hanging="360"/>
      </w:pPr>
      <w:rPr>
        <w:rFonts w:ascii="Symbol" w:hAnsi="Symbol"/>
      </w:rPr>
    </w:lvl>
    <w:lvl w:ilvl="6" w:tplc="78445588">
      <w:start w:val="1"/>
      <w:numFmt w:val="bullet"/>
      <w:lvlText w:val=""/>
      <w:lvlJc w:val="left"/>
      <w:pPr>
        <w:ind w:left="1120" w:hanging="360"/>
      </w:pPr>
      <w:rPr>
        <w:rFonts w:ascii="Symbol" w:hAnsi="Symbol"/>
      </w:rPr>
    </w:lvl>
    <w:lvl w:ilvl="7" w:tplc="DBC84284">
      <w:start w:val="1"/>
      <w:numFmt w:val="bullet"/>
      <w:lvlText w:val=""/>
      <w:lvlJc w:val="left"/>
      <w:pPr>
        <w:ind w:left="1120" w:hanging="360"/>
      </w:pPr>
      <w:rPr>
        <w:rFonts w:ascii="Symbol" w:hAnsi="Symbol"/>
      </w:rPr>
    </w:lvl>
    <w:lvl w:ilvl="8" w:tplc="50927FFE">
      <w:start w:val="1"/>
      <w:numFmt w:val="bullet"/>
      <w:lvlText w:val=""/>
      <w:lvlJc w:val="left"/>
      <w:pPr>
        <w:ind w:left="1120" w:hanging="360"/>
      </w:pPr>
      <w:rPr>
        <w:rFonts w:ascii="Symbol" w:hAnsi="Symbol"/>
      </w:rPr>
    </w:lvl>
  </w:abstractNum>
  <w:abstractNum w:abstractNumId="9" w15:restartNumberingAfterBreak="0">
    <w:nsid w:val="3AFB7C1C"/>
    <w:multiLevelType w:val="hybridMultilevel"/>
    <w:tmpl w:val="2C702006"/>
    <w:lvl w:ilvl="0" w:tplc="EAF8BFB2">
      <w:start w:val="1"/>
      <w:numFmt w:val="bullet"/>
      <w:lvlText w:val=""/>
      <w:lvlJc w:val="left"/>
      <w:pPr>
        <w:ind w:left="1120" w:hanging="360"/>
      </w:pPr>
      <w:rPr>
        <w:rFonts w:ascii="Symbol" w:hAnsi="Symbol"/>
      </w:rPr>
    </w:lvl>
    <w:lvl w:ilvl="1" w:tplc="AC4A1CFA">
      <w:start w:val="1"/>
      <w:numFmt w:val="bullet"/>
      <w:lvlText w:val=""/>
      <w:lvlJc w:val="left"/>
      <w:pPr>
        <w:ind w:left="1120" w:hanging="360"/>
      </w:pPr>
      <w:rPr>
        <w:rFonts w:ascii="Symbol" w:hAnsi="Symbol"/>
      </w:rPr>
    </w:lvl>
    <w:lvl w:ilvl="2" w:tplc="FE440A8E">
      <w:start w:val="1"/>
      <w:numFmt w:val="bullet"/>
      <w:lvlText w:val=""/>
      <w:lvlJc w:val="left"/>
      <w:pPr>
        <w:ind w:left="1120" w:hanging="360"/>
      </w:pPr>
      <w:rPr>
        <w:rFonts w:ascii="Symbol" w:hAnsi="Symbol"/>
      </w:rPr>
    </w:lvl>
    <w:lvl w:ilvl="3" w:tplc="6C1C09EA">
      <w:start w:val="1"/>
      <w:numFmt w:val="bullet"/>
      <w:lvlText w:val=""/>
      <w:lvlJc w:val="left"/>
      <w:pPr>
        <w:ind w:left="1120" w:hanging="360"/>
      </w:pPr>
      <w:rPr>
        <w:rFonts w:ascii="Symbol" w:hAnsi="Symbol"/>
      </w:rPr>
    </w:lvl>
    <w:lvl w:ilvl="4" w:tplc="96DC0F84">
      <w:start w:val="1"/>
      <w:numFmt w:val="bullet"/>
      <w:lvlText w:val=""/>
      <w:lvlJc w:val="left"/>
      <w:pPr>
        <w:ind w:left="1120" w:hanging="360"/>
      </w:pPr>
      <w:rPr>
        <w:rFonts w:ascii="Symbol" w:hAnsi="Symbol"/>
      </w:rPr>
    </w:lvl>
    <w:lvl w:ilvl="5" w:tplc="A350A810">
      <w:start w:val="1"/>
      <w:numFmt w:val="bullet"/>
      <w:lvlText w:val=""/>
      <w:lvlJc w:val="left"/>
      <w:pPr>
        <w:ind w:left="1120" w:hanging="360"/>
      </w:pPr>
      <w:rPr>
        <w:rFonts w:ascii="Symbol" w:hAnsi="Symbol"/>
      </w:rPr>
    </w:lvl>
    <w:lvl w:ilvl="6" w:tplc="E8605E8C">
      <w:start w:val="1"/>
      <w:numFmt w:val="bullet"/>
      <w:lvlText w:val=""/>
      <w:lvlJc w:val="left"/>
      <w:pPr>
        <w:ind w:left="1120" w:hanging="360"/>
      </w:pPr>
      <w:rPr>
        <w:rFonts w:ascii="Symbol" w:hAnsi="Symbol"/>
      </w:rPr>
    </w:lvl>
    <w:lvl w:ilvl="7" w:tplc="88244CBC">
      <w:start w:val="1"/>
      <w:numFmt w:val="bullet"/>
      <w:lvlText w:val=""/>
      <w:lvlJc w:val="left"/>
      <w:pPr>
        <w:ind w:left="1120" w:hanging="360"/>
      </w:pPr>
      <w:rPr>
        <w:rFonts w:ascii="Symbol" w:hAnsi="Symbol"/>
      </w:rPr>
    </w:lvl>
    <w:lvl w:ilvl="8" w:tplc="16C4DBB2">
      <w:start w:val="1"/>
      <w:numFmt w:val="bullet"/>
      <w:lvlText w:val=""/>
      <w:lvlJc w:val="left"/>
      <w:pPr>
        <w:ind w:left="1120" w:hanging="360"/>
      </w:pPr>
      <w:rPr>
        <w:rFonts w:ascii="Symbol" w:hAnsi="Symbol"/>
      </w:rPr>
    </w:lvl>
  </w:abstractNum>
  <w:abstractNum w:abstractNumId="10" w15:restartNumberingAfterBreak="0">
    <w:nsid w:val="3EBD23E1"/>
    <w:multiLevelType w:val="hybridMultilevel"/>
    <w:tmpl w:val="99F247D0"/>
    <w:lvl w:ilvl="0" w:tplc="6B84433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096169"/>
    <w:multiLevelType w:val="hybridMultilevel"/>
    <w:tmpl w:val="67129BE0"/>
    <w:lvl w:ilvl="0" w:tplc="85E63C4E">
      <w:start w:val="1"/>
      <w:numFmt w:val="bullet"/>
      <w:lvlText w:val=""/>
      <w:lvlJc w:val="left"/>
      <w:pPr>
        <w:ind w:left="720" w:hanging="360"/>
      </w:pPr>
      <w:rPr>
        <w:rFonts w:ascii="Symbol" w:hAnsi="Symbol"/>
      </w:rPr>
    </w:lvl>
    <w:lvl w:ilvl="1" w:tplc="FBC2CE9A">
      <w:start w:val="1"/>
      <w:numFmt w:val="bullet"/>
      <w:lvlText w:val=""/>
      <w:lvlJc w:val="left"/>
      <w:pPr>
        <w:ind w:left="720" w:hanging="360"/>
      </w:pPr>
      <w:rPr>
        <w:rFonts w:ascii="Symbol" w:hAnsi="Symbol"/>
      </w:rPr>
    </w:lvl>
    <w:lvl w:ilvl="2" w:tplc="5E80DEB4">
      <w:start w:val="1"/>
      <w:numFmt w:val="bullet"/>
      <w:lvlText w:val=""/>
      <w:lvlJc w:val="left"/>
      <w:pPr>
        <w:ind w:left="720" w:hanging="360"/>
      </w:pPr>
      <w:rPr>
        <w:rFonts w:ascii="Symbol" w:hAnsi="Symbol"/>
      </w:rPr>
    </w:lvl>
    <w:lvl w:ilvl="3" w:tplc="3E28F786">
      <w:start w:val="1"/>
      <w:numFmt w:val="bullet"/>
      <w:lvlText w:val=""/>
      <w:lvlJc w:val="left"/>
      <w:pPr>
        <w:ind w:left="720" w:hanging="360"/>
      </w:pPr>
      <w:rPr>
        <w:rFonts w:ascii="Symbol" w:hAnsi="Symbol"/>
      </w:rPr>
    </w:lvl>
    <w:lvl w:ilvl="4" w:tplc="58F2B208">
      <w:start w:val="1"/>
      <w:numFmt w:val="bullet"/>
      <w:lvlText w:val=""/>
      <w:lvlJc w:val="left"/>
      <w:pPr>
        <w:ind w:left="720" w:hanging="360"/>
      </w:pPr>
      <w:rPr>
        <w:rFonts w:ascii="Symbol" w:hAnsi="Symbol"/>
      </w:rPr>
    </w:lvl>
    <w:lvl w:ilvl="5" w:tplc="65B8C28E">
      <w:start w:val="1"/>
      <w:numFmt w:val="bullet"/>
      <w:lvlText w:val=""/>
      <w:lvlJc w:val="left"/>
      <w:pPr>
        <w:ind w:left="720" w:hanging="360"/>
      </w:pPr>
      <w:rPr>
        <w:rFonts w:ascii="Symbol" w:hAnsi="Symbol"/>
      </w:rPr>
    </w:lvl>
    <w:lvl w:ilvl="6" w:tplc="6A2487A2">
      <w:start w:val="1"/>
      <w:numFmt w:val="bullet"/>
      <w:lvlText w:val=""/>
      <w:lvlJc w:val="left"/>
      <w:pPr>
        <w:ind w:left="720" w:hanging="360"/>
      </w:pPr>
      <w:rPr>
        <w:rFonts w:ascii="Symbol" w:hAnsi="Symbol"/>
      </w:rPr>
    </w:lvl>
    <w:lvl w:ilvl="7" w:tplc="C262CA0A">
      <w:start w:val="1"/>
      <w:numFmt w:val="bullet"/>
      <w:lvlText w:val=""/>
      <w:lvlJc w:val="left"/>
      <w:pPr>
        <w:ind w:left="720" w:hanging="360"/>
      </w:pPr>
      <w:rPr>
        <w:rFonts w:ascii="Symbol" w:hAnsi="Symbol"/>
      </w:rPr>
    </w:lvl>
    <w:lvl w:ilvl="8" w:tplc="9486846A">
      <w:start w:val="1"/>
      <w:numFmt w:val="bullet"/>
      <w:lvlText w:val=""/>
      <w:lvlJc w:val="left"/>
      <w:pPr>
        <w:ind w:left="720" w:hanging="360"/>
      </w:pPr>
      <w:rPr>
        <w:rFonts w:ascii="Symbol" w:hAnsi="Symbol"/>
      </w:rPr>
    </w:lvl>
  </w:abstractNum>
  <w:abstractNum w:abstractNumId="12" w15:restartNumberingAfterBreak="0">
    <w:nsid w:val="4D155B55"/>
    <w:multiLevelType w:val="hybridMultilevel"/>
    <w:tmpl w:val="4044D406"/>
    <w:lvl w:ilvl="0" w:tplc="A628E59E">
      <w:start w:val="1"/>
      <w:numFmt w:val="bullet"/>
      <w:lvlText w:val=""/>
      <w:lvlJc w:val="left"/>
      <w:pPr>
        <w:ind w:left="1120" w:hanging="360"/>
      </w:pPr>
      <w:rPr>
        <w:rFonts w:ascii="Symbol" w:hAnsi="Symbol"/>
      </w:rPr>
    </w:lvl>
    <w:lvl w:ilvl="1" w:tplc="694CFF80">
      <w:start w:val="1"/>
      <w:numFmt w:val="bullet"/>
      <w:lvlText w:val=""/>
      <w:lvlJc w:val="left"/>
      <w:pPr>
        <w:ind w:left="1120" w:hanging="360"/>
      </w:pPr>
      <w:rPr>
        <w:rFonts w:ascii="Symbol" w:hAnsi="Symbol"/>
      </w:rPr>
    </w:lvl>
    <w:lvl w:ilvl="2" w:tplc="6D76AF3C">
      <w:start w:val="1"/>
      <w:numFmt w:val="bullet"/>
      <w:lvlText w:val=""/>
      <w:lvlJc w:val="left"/>
      <w:pPr>
        <w:ind w:left="1120" w:hanging="360"/>
      </w:pPr>
      <w:rPr>
        <w:rFonts w:ascii="Symbol" w:hAnsi="Symbol"/>
      </w:rPr>
    </w:lvl>
    <w:lvl w:ilvl="3" w:tplc="41E20EC6">
      <w:start w:val="1"/>
      <w:numFmt w:val="bullet"/>
      <w:lvlText w:val=""/>
      <w:lvlJc w:val="left"/>
      <w:pPr>
        <w:ind w:left="1120" w:hanging="360"/>
      </w:pPr>
      <w:rPr>
        <w:rFonts w:ascii="Symbol" w:hAnsi="Symbol"/>
      </w:rPr>
    </w:lvl>
    <w:lvl w:ilvl="4" w:tplc="45DECE2E">
      <w:start w:val="1"/>
      <w:numFmt w:val="bullet"/>
      <w:lvlText w:val=""/>
      <w:lvlJc w:val="left"/>
      <w:pPr>
        <w:ind w:left="1120" w:hanging="360"/>
      </w:pPr>
      <w:rPr>
        <w:rFonts w:ascii="Symbol" w:hAnsi="Symbol"/>
      </w:rPr>
    </w:lvl>
    <w:lvl w:ilvl="5" w:tplc="3604B3F8">
      <w:start w:val="1"/>
      <w:numFmt w:val="bullet"/>
      <w:lvlText w:val=""/>
      <w:lvlJc w:val="left"/>
      <w:pPr>
        <w:ind w:left="1120" w:hanging="360"/>
      </w:pPr>
      <w:rPr>
        <w:rFonts w:ascii="Symbol" w:hAnsi="Symbol"/>
      </w:rPr>
    </w:lvl>
    <w:lvl w:ilvl="6" w:tplc="A39662FC">
      <w:start w:val="1"/>
      <w:numFmt w:val="bullet"/>
      <w:lvlText w:val=""/>
      <w:lvlJc w:val="left"/>
      <w:pPr>
        <w:ind w:left="1120" w:hanging="360"/>
      </w:pPr>
      <w:rPr>
        <w:rFonts w:ascii="Symbol" w:hAnsi="Symbol"/>
      </w:rPr>
    </w:lvl>
    <w:lvl w:ilvl="7" w:tplc="F4F04884">
      <w:start w:val="1"/>
      <w:numFmt w:val="bullet"/>
      <w:lvlText w:val=""/>
      <w:lvlJc w:val="left"/>
      <w:pPr>
        <w:ind w:left="1120" w:hanging="360"/>
      </w:pPr>
      <w:rPr>
        <w:rFonts w:ascii="Symbol" w:hAnsi="Symbol"/>
      </w:rPr>
    </w:lvl>
    <w:lvl w:ilvl="8" w:tplc="84E02066">
      <w:start w:val="1"/>
      <w:numFmt w:val="bullet"/>
      <w:lvlText w:val=""/>
      <w:lvlJc w:val="left"/>
      <w:pPr>
        <w:ind w:left="1120" w:hanging="360"/>
      </w:pPr>
      <w:rPr>
        <w:rFonts w:ascii="Symbol" w:hAnsi="Symbol"/>
      </w:rPr>
    </w:lvl>
  </w:abstractNum>
  <w:abstractNum w:abstractNumId="13" w15:restartNumberingAfterBreak="0">
    <w:nsid w:val="51091D9D"/>
    <w:multiLevelType w:val="hybridMultilevel"/>
    <w:tmpl w:val="A0DCBCDE"/>
    <w:lvl w:ilvl="0" w:tplc="38382372">
      <w:start w:val="1"/>
      <w:numFmt w:val="bullet"/>
      <w:lvlText w:val=""/>
      <w:lvlJc w:val="left"/>
      <w:pPr>
        <w:ind w:left="1120" w:hanging="360"/>
      </w:pPr>
      <w:rPr>
        <w:rFonts w:ascii="Symbol" w:hAnsi="Symbol"/>
      </w:rPr>
    </w:lvl>
    <w:lvl w:ilvl="1" w:tplc="3E5231FE">
      <w:start w:val="1"/>
      <w:numFmt w:val="bullet"/>
      <w:lvlText w:val=""/>
      <w:lvlJc w:val="left"/>
      <w:pPr>
        <w:ind w:left="1120" w:hanging="360"/>
      </w:pPr>
      <w:rPr>
        <w:rFonts w:ascii="Symbol" w:hAnsi="Symbol"/>
      </w:rPr>
    </w:lvl>
    <w:lvl w:ilvl="2" w:tplc="39DAE34A">
      <w:start w:val="1"/>
      <w:numFmt w:val="bullet"/>
      <w:lvlText w:val=""/>
      <w:lvlJc w:val="left"/>
      <w:pPr>
        <w:ind w:left="1120" w:hanging="360"/>
      </w:pPr>
      <w:rPr>
        <w:rFonts w:ascii="Symbol" w:hAnsi="Symbol"/>
      </w:rPr>
    </w:lvl>
    <w:lvl w:ilvl="3" w:tplc="35706FE0">
      <w:start w:val="1"/>
      <w:numFmt w:val="bullet"/>
      <w:lvlText w:val=""/>
      <w:lvlJc w:val="left"/>
      <w:pPr>
        <w:ind w:left="1120" w:hanging="360"/>
      </w:pPr>
      <w:rPr>
        <w:rFonts w:ascii="Symbol" w:hAnsi="Symbol"/>
      </w:rPr>
    </w:lvl>
    <w:lvl w:ilvl="4" w:tplc="40FEE5E6">
      <w:start w:val="1"/>
      <w:numFmt w:val="bullet"/>
      <w:lvlText w:val=""/>
      <w:lvlJc w:val="left"/>
      <w:pPr>
        <w:ind w:left="1120" w:hanging="360"/>
      </w:pPr>
      <w:rPr>
        <w:rFonts w:ascii="Symbol" w:hAnsi="Symbol"/>
      </w:rPr>
    </w:lvl>
    <w:lvl w:ilvl="5" w:tplc="26285016">
      <w:start w:val="1"/>
      <w:numFmt w:val="bullet"/>
      <w:lvlText w:val=""/>
      <w:lvlJc w:val="left"/>
      <w:pPr>
        <w:ind w:left="1120" w:hanging="360"/>
      </w:pPr>
      <w:rPr>
        <w:rFonts w:ascii="Symbol" w:hAnsi="Symbol"/>
      </w:rPr>
    </w:lvl>
    <w:lvl w:ilvl="6" w:tplc="D9ECB3F8">
      <w:start w:val="1"/>
      <w:numFmt w:val="bullet"/>
      <w:lvlText w:val=""/>
      <w:lvlJc w:val="left"/>
      <w:pPr>
        <w:ind w:left="1120" w:hanging="360"/>
      </w:pPr>
      <w:rPr>
        <w:rFonts w:ascii="Symbol" w:hAnsi="Symbol"/>
      </w:rPr>
    </w:lvl>
    <w:lvl w:ilvl="7" w:tplc="C6D67456">
      <w:start w:val="1"/>
      <w:numFmt w:val="bullet"/>
      <w:lvlText w:val=""/>
      <w:lvlJc w:val="left"/>
      <w:pPr>
        <w:ind w:left="1120" w:hanging="360"/>
      </w:pPr>
      <w:rPr>
        <w:rFonts w:ascii="Symbol" w:hAnsi="Symbol"/>
      </w:rPr>
    </w:lvl>
    <w:lvl w:ilvl="8" w:tplc="A2C8797A">
      <w:start w:val="1"/>
      <w:numFmt w:val="bullet"/>
      <w:lvlText w:val=""/>
      <w:lvlJc w:val="left"/>
      <w:pPr>
        <w:ind w:left="1120" w:hanging="360"/>
      </w:pPr>
      <w:rPr>
        <w:rFonts w:ascii="Symbol" w:hAnsi="Symbol"/>
      </w:rPr>
    </w:lvl>
  </w:abstractNum>
  <w:abstractNum w:abstractNumId="14" w15:restartNumberingAfterBreak="0">
    <w:nsid w:val="54766CE3"/>
    <w:multiLevelType w:val="hybridMultilevel"/>
    <w:tmpl w:val="138E753A"/>
    <w:lvl w:ilvl="0" w:tplc="A3E4FE84">
      <w:start w:val="1"/>
      <w:numFmt w:val="bullet"/>
      <w:lvlText w:val=""/>
      <w:lvlJc w:val="left"/>
      <w:pPr>
        <w:ind w:left="1120" w:hanging="360"/>
      </w:pPr>
      <w:rPr>
        <w:rFonts w:ascii="Symbol" w:hAnsi="Symbol"/>
      </w:rPr>
    </w:lvl>
    <w:lvl w:ilvl="1" w:tplc="B122DDC6">
      <w:start w:val="1"/>
      <w:numFmt w:val="bullet"/>
      <w:lvlText w:val=""/>
      <w:lvlJc w:val="left"/>
      <w:pPr>
        <w:ind w:left="1120" w:hanging="360"/>
      </w:pPr>
      <w:rPr>
        <w:rFonts w:ascii="Symbol" w:hAnsi="Symbol"/>
      </w:rPr>
    </w:lvl>
    <w:lvl w:ilvl="2" w:tplc="8332A3E4">
      <w:start w:val="1"/>
      <w:numFmt w:val="bullet"/>
      <w:lvlText w:val=""/>
      <w:lvlJc w:val="left"/>
      <w:pPr>
        <w:ind w:left="1120" w:hanging="360"/>
      </w:pPr>
      <w:rPr>
        <w:rFonts w:ascii="Symbol" w:hAnsi="Symbol"/>
      </w:rPr>
    </w:lvl>
    <w:lvl w:ilvl="3" w:tplc="DC042636">
      <w:start w:val="1"/>
      <w:numFmt w:val="bullet"/>
      <w:lvlText w:val=""/>
      <w:lvlJc w:val="left"/>
      <w:pPr>
        <w:ind w:left="1120" w:hanging="360"/>
      </w:pPr>
      <w:rPr>
        <w:rFonts w:ascii="Symbol" w:hAnsi="Symbol"/>
      </w:rPr>
    </w:lvl>
    <w:lvl w:ilvl="4" w:tplc="5846E236">
      <w:start w:val="1"/>
      <w:numFmt w:val="bullet"/>
      <w:lvlText w:val=""/>
      <w:lvlJc w:val="left"/>
      <w:pPr>
        <w:ind w:left="1120" w:hanging="360"/>
      </w:pPr>
      <w:rPr>
        <w:rFonts w:ascii="Symbol" w:hAnsi="Symbol"/>
      </w:rPr>
    </w:lvl>
    <w:lvl w:ilvl="5" w:tplc="D66A5D5A">
      <w:start w:val="1"/>
      <w:numFmt w:val="bullet"/>
      <w:lvlText w:val=""/>
      <w:lvlJc w:val="left"/>
      <w:pPr>
        <w:ind w:left="1120" w:hanging="360"/>
      </w:pPr>
      <w:rPr>
        <w:rFonts w:ascii="Symbol" w:hAnsi="Symbol"/>
      </w:rPr>
    </w:lvl>
    <w:lvl w:ilvl="6" w:tplc="C50271CC">
      <w:start w:val="1"/>
      <w:numFmt w:val="bullet"/>
      <w:lvlText w:val=""/>
      <w:lvlJc w:val="left"/>
      <w:pPr>
        <w:ind w:left="1120" w:hanging="360"/>
      </w:pPr>
      <w:rPr>
        <w:rFonts w:ascii="Symbol" w:hAnsi="Symbol"/>
      </w:rPr>
    </w:lvl>
    <w:lvl w:ilvl="7" w:tplc="31062E62">
      <w:start w:val="1"/>
      <w:numFmt w:val="bullet"/>
      <w:lvlText w:val=""/>
      <w:lvlJc w:val="left"/>
      <w:pPr>
        <w:ind w:left="1120" w:hanging="360"/>
      </w:pPr>
      <w:rPr>
        <w:rFonts w:ascii="Symbol" w:hAnsi="Symbol"/>
      </w:rPr>
    </w:lvl>
    <w:lvl w:ilvl="8" w:tplc="E19EEC2C">
      <w:start w:val="1"/>
      <w:numFmt w:val="bullet"/>
      <w:lvlText w:val=""/>
      <w:lvlJc w:val="left"/>
      <w:pPr>
        <w:ind w:left="1120" w:hanging="360"/>
      </w:pPr>
      <w:rPr>
        <w:rFonts w:ascii="Symbol" w:hAnsi="Symbol"/>
      </w:rPr>
    </w:lvl>
  </w:abstractNum>
  <w:abstractNum w:abstractNumId="15" w15:restartNumberingAfterBreak="0">
    <w:nsid w:val="61A66AD1"/>
    <w:multiLevelType w:val="hybridMultilevel"/>
    <w:tmpl w:val="48C8A778"/>
    <w:lvl w:ilvl="0" w:tplc="49083472">
      <w:start w:val="1"/>
      <w:numFmt w:val="bullet"/>
      <w:lvlText w:val=""/>
      <w:lvlJc w:val="left"/>
      <w:pPr>
        <w:ind w:left="1120" w:hanging="360"/>
      </w:pPr>
      <w:rPr>
        <w:rFonts w:ascii="Symbol" w:hAnsi="Symbol"/>
      </w:rPr>
    </w:lvl>
    <w:lvl w:ilvl="1" w:tplc="44B6482C">
      <w:start w:val="1"/>
      <w:numFmt w:val="bullet"/>
      <w:lvlText w:val=""/>
      <w:lvlJc w:val="left"/>
      <w:pPr>
        <w:ind w:left="1120" w:hanging="360"/>
      </w:pPr>
      <w:rPr>
        <w:rFonts w:ascii="Symbol" w:hAnsi="Symbol"/>
      </w:rPr>
    </w:lvl>
    <w:lvl w:ilvl="2" w:tplc="3546311E">
      <w:start w:val="1"/>
      <w:numFmt w:val="bullet"/>
      <w:lvlText w:val=""/>
      <w:lvlJc w:val="left"/>
      <w:pPr>
        <w:ind w:left="1120" w:hanging="360"/>
      </w:pPr>
      <w:rPr>
        <w:rFonts w:ascii="Symbol" w:hAnsi="Symbol"/>
      </w:rPr>
    </w:lvl>
    <w:lvl w:ilvl="3" w:tplc="AA421E52">
      <w:start w:val="1"/>
      <w:numFmt w:val="bullet"/>
      <w:lvlText w:val=""/>
      <w:lvlJc w:val="left"/>
      <w:pPr>
        <w:ind w:left="1120" w:hanging="360"/>
      </w:pPr>
      <w:rPr>
        <w:rFonts w:ascii="Symbol" w:hAnsi="Symbol"/>
      </w:rPr>
    </w:lvl>
    <w:lvl w:ilvl="4" w:tplc="AE4AE466">
      <w:start w:val="1"/>
      <w:numFmt w:val="bullet"/>
      <w:lvlText w:val=""/>
      <w:lvlJc w:val="left"/>
      <w:pPr>
        <w:ind w:left="1120" w:hanging="360"/>
      </w:pPr>
      <w:rPr>
        <w:rFonts w:ascii="Symbol" w:hAnsi="Symbol"/>
      </w:rPr>
    </w:lvl>
    <w:lvl w:ilvl="5" w:tplc="B2E2F990">
      <w:start w:val="1"/>
      <w:numFmt w:val="bullet"/>
      <w:lvlText w:val=""/>
      <w:lvlJc w:val="left"/>
      <w:pPr>
        <w:ind w:left="1120" w:hanging="360"/>
      </w:pPr>
      <w:rPr>
        <w:rFonts w:ascii="Symbol" w:hAnsi="Symbol"/>
      </w:rPr>
    </w:lvl>
    <w:lvl w:ilvl="6" w:tplc="8E920AB6">
      <w:start w:val="1"/>
      <w:numFmt w:val="bullet"/>
      <w:lvlText w:val=""/>
      <w:lvlJc w:val="left"/>
      <w:pPr>
        <w:ind w:left="1120" w:hanging="360"/>
      </w:pPr>
      <w:rPr>
        <w:rFonts w:ascii="Symbol" w:hAnsi="Symbol"/>
      </w:rPr>
    </w:lvl>
    <w:lvl w:ilvl="7" w:tplc="5F582E42">
      <w:start w:val="1"/>
      <w:numFmt w:val="bullet"/>
      <w:lvlText w:val=""/>
      <w:lvlJc w:val="left"/>
      <w:pPr>
        <w:ind w:left="1120" w:hanging="360"/>
      </w:pPr>
      <w:rPr>
        <w:rFonts w:ascii="Symbol" w:hAnsi="Symbol"/>
      </w:rPr>
    </w:lvl>
    <w:lvl w:ilvl="8" w:tplc="0C42A3AE">
      <w:start w:val="1"/>
      <w:numFmt w:val="bullet"/>
      <w:lvlText w:val=""/>
      <w:lvlJc w:val="left"/>
      <w:pPr>
        <w:ind w:left="1120" w:hanging="360"/>
      </w:pPr>
      <w:rPr>
        <w:rFonts w:ascii="Symbol" w:hAnsi="Symbol"/>
      </w:rPr>
    </w:lvl>
  </w:abstractNum>
  <w:abstractNum w:abstractNumId="16" w15:restartNumberingAfterBreak="0">
    <w:nsid w:val="65680F0C"/>
    <w:multiLevelType w:val="hybridMultilevel"/>
    <w:tmpl w:val="C73E12CA"/>
    <w:lvl w:ilvl="0" w:tplc="217C02F6">
      <w:start w:val="1"/>
      <w:numFmt w:val="bullet"/>
      <w:lvlText w:val=""/>
      <w:lvlJc w:val="left"/>
      <w:pPr>
        <w:ind w:left="1120" w:hanging="360"/>
      </w:pPr>
      <w:rPr>
        <w:rFonts w:ascii="Symbol" w:hAnsi="Symbol"/>
      </w:rPr>
    </w:lvl>
    <w:lvl w:ilvl="1" w:tplc="E636463C">
      <w:start w:val="1"/>
      <w:numFmt w:val="bullet"/>
      <w:lvlText w:val=""/>
      <w:lvlJc w:val="left"/>
      <w:pPr>
        <w:ind w:left="1120" w:hanging="360"/>
      </w:pPr>
      <w:rPr>
        <w:rFonts w:ascii="Symbol" w:hAnsi="Symbol"/>
      </w:rPr>
    </w:lvl>
    <w:lvl w:ilvl="2" w:tplc="DAA0D81A">
      <w:start w:val="1"/>
      <w:numFmt w:val="bullet"/>
      <w:lvlText w:val=""/>
      <w:lvlJc w:val="left"/>
      <w:pPr>
        <w:ind w:left="1120" w:hanging="360"/>
      </w:pPr>
      <w:rPr>
        <w:rFonts w:ascii="Symbol" w:hAnsi="Symbol"/>
      </w:rPr>
    </w:lvl>
    <w:lvl w:ilvl="3" w:tplc="1A80074A">
      <w:start w:val="1"/>
      <w:numFmt w:val="bullet"/>
      <w:lvlText w:val=""/>
      <w:lvlJc w:val="left"/>
      <w:pPr>
        <w:ind w:left="1120" w:hanging="360"/>
      </w:pPr>
      <w:rPr>
        <w:rFonts w:ascii="Symbol" w:hAnsi="Symbol"/>
      </w:rPr>
    </w:lvl>
    <w:lvl w:ilvl="4" w:tplc="0BC024B4">
      <w:start w:val="1"/>
      <w:numFmt w:val="bullet"/>
      <w:lvlText w:val=""/>
      <w:lvlJc w:val="left"/>
      <w:pPr>
        <w:ind w:left="1120" w:hanging="360"/>
      </w:pPr>
      <w:rPr>
        <w:rFonts w:ascii="Symbol" w:hAnsi="Symbol"/>
      </w:rPr>
    </w:lvl>
    <w:lvl w:ilvl="5" w:tplc="5E72C5DE">
      <w:start w:val="1"/>
      <w:numFmt w:val="bullet"/>
      <w:lvlText w:val=""/>
      <w:lvlJc w:val="left"/>
      <w:pPr>
        <w:ind w:left="1120" w:hanging="360"/>
      </w:pPr>
      <w:rPr>
        <w:rFonts w:ascii="Symbol" w:hAnsi="Symbol"/>
      </w:rPr>
    </w:lvl>
    <w:lvl w:ilvl="6" w:tplc="514ADE94">
      <w:start w:val="1"/>
      <w:numFmt w:val="bullet"/>
      <w:lvlText w:val=""/>
      <w:lvlJc w:val="left"/>
      <w:pPr>
        <w:ind w:left="1120" w:hanging="360"/>
      </w:pPr>
      <w:rPr>
        <w:rFonts w:ascii="Symbol" w:hAnsi="Symbol"/>
      </w:rPr>
    </w:lvl>
    <w:lvl w:ilvl="7" w:tplc="6FEC0D94">
      <w:start w:val="1"/>
      <w:numFmt w:val="bullet"/>
      <w:lvlText w:val=""/>
      <w:lvlJc w:val="left"/>
      <w:pPr>
        <w:ind w:left="1120" w:hanging="360"/>
      </w:pPr>
      <w:rPr>
        <w:rFonts w:ascii="Symbol" w:hAnsi="Symbol"/>
      </w:rPr>
    </w:lvl>
    <w:lvl w:ilvl="8" w:tplc="3E94419A">
      <w:start w:val="1"/>
      <w:numFmt w:val="bullet"/>
      <w:lvlText w:val=""/>
      <w:lvlJc w:val="left"/>
      <w:pPr>
        <w:ind w:left="1120" w:hanging="360"/>
      </w:pPr>
      <w:rPr>
        <w:rFonts w:ascii="Symbol" w:hAnsi="Symbol"/>
      </w:rPr>
    </w:lvl>
  </w:abstractNum>
  <w:abstractNum w:abstractNumId="17" w15:restartNumberingAfterBreak="0">
    <w:nsid w:val="668672A6"/>
    <w:multiLevelType w:val="hybridMultilevel"/>
    <w:tmpl w:val="2D324D9E"/>
    <w:lvl w:ilvl="0" w:tplc="FAB49402">
      <w:start w:val="1"/>
      <w:numFmt w:val="bullet"/>
      <w:lvlText w:val=""/>
      <w:lvlJc w:val="left"/>
      <w:pPr>
        <w:ind w:left="1120" w:hanging="360"/>
      </w:pPr>
      <w:rPr>
        <w:rFonts w:ascii="Symbol" w:hAnsi="Symbol"/>
      </w:rPr>
    </w:lvl>
    <w:lvl w:ilvl="1" w:tplc="A642AD22">
      <w:start w:val="1"/>
      <w:numFmt w:val="bullet"/>
      <w:lvlText w:val=""/>
      <w:lvlJc w:val="left"/>
      <w:pPr>
        <w:ind w:left="1120" w:hanging="360"/>
      </w:pPr>
      <w:rPr>
        <w:rFonts w:ascii="Symbol" w:hAnsi="Symbol"/>
      </w:rPr>
    </w:lvl>
    <w:lvl w:ilvl="2" w:tplc="896207B4">
      <w:start w:val="1"/>
      <w:numFmt w:val="bullet"/>
      <w:lvlText w:val=""/>
      <w:lvlJc w:val="left"/>
      <w:pPr>
        <w:ind w:left="1120" w:hanging="360"/>
      </w:pPr>
      <w:rPr>
        <w:rFonts w:ascii="Symbol" w:hAnsi="Symbol"/>
      </w:rPr>
    </w:lvl>
    <w:lvl w:ilvl="3" w:tplc="C77C985A">
      <w:start w:val="1"/>
      <w:numFmt w:val="bullet"/>
      <w:lvlText w:val=""/>
      <w:lvlJc w:val="left"/>
      <w:pPr>
        <w:ind w:left="1120" w:hanging="360"/>
      </w:pPr>
      <w:rPr>
        <w:rFonts w:ascii="Symbol" w:hAnsi="Symbol"/>
      </w:rPr>
    </w:lvl>
    <w:lvl w:ilvl="4" w:tplc="3F76F978">
      <w:start w:val="1"/>
      <w:numFmt w:val="bullet"/>
      <w:lvlText w:val=""/>
      <w:lvlJc w:val="left"/>
      <w:pPr>
        <w:ind w:left="1120" w:hanging="360"/>
      </w:pPr>
      <w:rPr>
        <w:rFonts w:ascii="Symbol" w:hAnsi="Symbol"/>
      </w:rPr>
    </w:lvl>
    <w:lvl w:ilvl="5" w:tplc="112E6944">
      <w:start w:val="1"/>
      <w:numFmt w:val="bullet"/>
      <w:lvlText w:val=""/>
      <w:lvlJc w:val="left"/>
      <w:pPr>
        <w:ind w:left="1120" w:hanging="360"/>
      </w:pPr>
      <w:rPr>
        <w:rFonts w:ascii="Symbol" w:hAnsi="Symbol"/>
      </w:rPr>
    </w:lvl>
    <w:lvl w:ilvl="6" w:tplc="C8BEB952">
      <w:start w:val="1"/>
      <w:numFmt w:val="bullet"/>
      <w:lvlText w:val=""/>
      <w:lvlJc w:val="left"/>
      <w:pPr>
        <w:ind w:left="1120" w:hanging="360"/>
      </w:pPr>
      <w:rPr>
        <w:rFonts w:ascii="Symbol" w:hAnsi="Symbol"/>
      </w:rPr>
    </w:lvl>
    <w:lvl w:ilvl="7" w:tplc="02CA4E70">
      <w:start w:val="1"/>
      <w:numFmt w:val="bullet"/>
      <w:lvlText w:val=""/>
      <w:lvlJc w:val="left"/>
      <w:pPr>
        <w:ind w:left="1120" w:hanging="360"/>
      </w:pPr>
      <w:rPr>
        <w:rFonts w:ascii="Symbol" w:hAnsi="Symbol"/>
      </w:rPr>
    </w:lvl>
    <w:lvl w:ilvl="8" w:tplc="B6C4F2F4">
      <w:start w:val="1"/>
      <w:numFmt w:val="bullet"/>
      <w:lvlText w:val=""/>
      <w:lvlJc w:val="left"/>
      <w:pPr>
        <w:ind w:left="1120" w:hanging="360"/>
      </w:pPr>
      <w:rPr>
        <w:rFonts w:ascii="Symbol" w:hAnsi="Symbol"/>
      </w:rPr>
    </w:lvl>
  </w:abstractNum>
  <w:abstractNum w:abstractNumId="18" w15:restartNumberingAfterBreak="0">
    <w:nsid w:val="74885D80"/>
    <w:multiLevelType w:val="hybridMultilevel"/>
    <w:tmpl w:val="8666908A"/>
    <w:lvl w:ilvl="0" w:tplc="9A60DBCE">
      <w:start w:val="1"/>
      <w:numFmt w:val="bullet"/>
      <w:lvlText w:val=""/>
      <w:lvlJc w:val="left"/>
      <w:pPr>
        <w:ind w:left="1120" w:hanging="360"/>
      </w:pPr>
      <w:rPr>
        <w:rFonts w:ascii="Symbol" w:hAnsi="Symbol"/>
      </w:rPr>
    </w:lvl>
    <w:lvl w:ilvl="1" w:tplc="0DF02F9C">
      <w:start w:val="1"/>
      <w:numFmt w:val="bullet"/>
      <w:lvlText w:val=""/>
      <w:lvlJc w:val="left"/>
      <w:pPr>
        <w:ind w:left="1120" w:hanging="360"/>
      </w:pPr>
      <w:rPr>
        <w:rFonts w:ascii="Symbol" w:hAnsi="Symbol"/>
      </w:rPr>
    </w:lvl>
    <w:lvl w:ilvl="2" w:tplc="DC58C5D6">
      <w:start w:val="1"/>
      <w:numFmt w:val="bullet"/>
      <w:lvlText w:val=""/>
      <w:lvlJc w:val="left"/>
      <w:pPr>
        <w:ind w:left="1120" w:hanging="360"/>
      </w:pPr>
      <w:rPr>
        <w:rFonts w:ascii="Symbol" w:hAnsi="Symbol"/>
      </w:rPr>
    </w:lvl>
    <w:lvl w:ilvl="3" w:tplc="60506130">
      <w:start w:val="1"/>
      <w:numFmt w:val="bullet"/>
      <w:lvlText w:val=""/>
      <w:lvlJc w:val="left"/>
      <w:pPr>
        <w:ind w:left="1120" w:hanging="360"/>
      </w:pPr>
      <w:rPr>
        <w:rFonts w:ascii="Symbol" w:hAnsi="Symbol"/>
      </w:rPr>
    </w:lvl>
    <w:lvl w:ilvl="4" w:tplc="E5A8E170">
      <w:start w:val="1"/>
      <w:numFmt w:val="bullet"/>
      <w:lvlText w:val=""/>
      <w:lvlJc w:val="left"/>
      <w:pPr>
        <w:ind w:left="1120" w:hanging="360"/>
      </w:pPr>
      <w:rPr>
        <w:rFonts w:ascii="Symbol" w:hAnsi="Symbol"/>
      </w:rPr>
    </w:lvl>
    <w:lvl w:ilvl="5" w:tplc="18109BF2">
      <w:start w:val="1"/>
      <w:numFmt w:val="bullet"/>
      <w:lvlText w:val=""/>
      <w:lvlJc w:val="left"/>
      <w:pPr>
        <w:ind w:left="1120" w:hanging="360"/>
      </w:pPr>
      <w:rPr>
        <w:rFonts w:ascii="Symbol" w:hAnsi="Symbol"/>
      </w:rPr>
    </w:lvl>
    <w:lvl w:ilvl="6" w:tplc="29D640A2">
      <w:start w:val="1"/>
      <w:numFmt w:val="bullet"/>
      <w:lvlText w:val=""/>
      <w:lvlJc w:val="left"/>
      <w:pPr>
        <w:ind w:left="1120" w:hanging="360"/>
      </w:pPr>
      <w:rPr>
        <w:rFonts w:ascii="Symbol" w:hAnsi="Symbol"/>
      </w:rPr>
    </w:lvl>
    <w:lvl w:ilvl="7" w:tplc="0C2E8120">
      <w:start w:val="1"/>
      <w:numFmt w:val="bullet"/>
      <w:lvlText w:val=""/>
      <w:lvlJc w:val="left"/>
      <w:pPr>
        <w:ind w:left="1120" w:hanging="360"/>
      </w:pPr>
      <w:rPr>
        <w:rFonts w:ascii="Symbol" w:hAnsi="Symbol"/>
      </w:rPr>
    </w:lvl>
    <w:lvl w:ilvl="8" w:tplc="26A27F3A">
      <w:start w:val="1"/>
      <w:numFmt w:val="bullet"/>
      <w:lvlText w:val=""/>
      <w:lvlJc w:val="left"/>
      <w:pPr>
        <w:ind w:left="1120" w:hanging="360"/>
      </w:pPr>
      <w:rPr>
        <w:rFonts w:ascii="Symbol" w:hAnsi="Symbol"/>
      </w:rPr>
    </w:lvl>
  </w:abstractNum>
  <w:num w:numId="1" w16cid:durableId="299111148">
    <w:abstractNumId w:val="3"/>
  </w:num>
  <w:num w:numId="2" w16cid:durableId="130447282">
    <w:abstractNumId w:val="10"/>
  </w:num>
  <w:num w:numId="3" w16cid:durableId="633170832">
    <w:abstractNumId w:val="4"/>
  </w:num>
  <w:num w:numId="4" w16cid:durableId="1657220485">
    <w:abstractNumId w:val="5"/>
  </w:num>
  <w:num w:numId="5" w16cid:durableId="703746836">
    <w:abstractNumId w:val="12"/>
  </w:num>
  <w:num w:numId="6" w16cid:durableId="1775200329">
    <w:abstractNumId w:val="13"/>
  </w:num>
  <w:num w:numId="7" w16cid:durableId="1261793507">
    <w:abstractNumId w:val="8"/>
  </w:num>
  <w:num w:numId="8" w16cid:durableId="2109765553">
    <w:abstractNumId w:val="14"/>
  </w:num>
  <w:num w:numId="9" w16cid:durableId="1832133188">
    <w:abstractNumId w:val="2"/>
  </w:num>
  <w:num w:numId="10" w16cid:durableId="232012071">
    <w:abstractNumId w:val="17"/>
  </w:num>
  <w:num w:numId="11" w16cid:durableId="1011906386">
    <w:abstractNumId w:val="7"/>
  </w:num>
  <w:num w:numId="12" w16cid:durableId="1315374710">
    <w:abstractNumId w:val="0"/>
  </w:num>
  <w:num w:numId="13" w16cid:durableId="621703">
    <w:abstractNumId w:val="9"/>
  </w:num>
  <w:num w:numId="14" w16cid:durableId="494959284">
    <w:abstractNumId w:val="16"/>
  </w:num>
  <w:num w:numId="15" w16cid:durableId="729501470">
    <w:abstractNumId w:val="18"/>
  </w:num>
  <w:num w:numId="16" w16cid:durableId="2118868693">
    <w:abstractNumId w:val="15"/>
  </w:num>
  <w:num w:numId="17" w16cid:durableId="829055418">
    <w:abstractNumId w:val="6"/>
  </w:num>
  <w:num w:numId="18" w16cid:durableId="164787303">
    <w:abstractNumId w:val="1"/>
  </w:num>
  <w:num w:numId="19" w16cid:durableId="4394486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2A4"/>
    <w:rsid w:val="000001F0"/>
    <w:rsid w:val="000007FF"/>
    <w:rsid w:val="000013F5"/>
    <w:rsid w:val="0000245C"/>
    <w:rsid w:val="000025A6"/>
    <w:rsid w:val="0000352B"/>
    <w:rsid w:val="00004385"/>
    <w:rsid w:val="000045C6"/>
    <w:rsid w:val="00004FDA"/>
    <w:rsid w:val="00004FFC"/>
    <w:rsid w:val="00005367"/>
    <w:rsid w:val="0000545E"/>
    <w:rsid w:val="00005958"/>
    <w:rsid w:val="00005CDA"/>
    <w:rsid w:val="0000767E"/>
    <w:rsid w:val="00010350"/>
    <w:rsid w:val="000115DF"/>
    <w:rsid w:val="00011939"/>
    <w:rsid w:val="00011E57"/>
    <w:rsid w:val="0001218F"/>
    <w:rsid w:val="0001242F"/>
    <w:rsid w:val="0001260A"/>
    <w:rsid w:val="00012CC2"/>
    <w:rsid w:val="00012F04"/>
    <w:rsid w:val="00012FA0"/>
    <w:rsid w:val="00013F65"/>
    <w:rsid w:val="00014405"/>
    <w:rsid w:val="00014788"/>
    <w:rsid w:val="00014DCD"/>
    <w:rsid w:val="000152AA"/>
    <w:rsid w:val="00015C1E"/>
    <w:rsid w:val="00016074"/>
    <w:rsid w:val="000167B3"/>
    <w:rsid w:val="00016E3B"/>
    <w:rsid w:val="00016E6D"/>
    <w:rsid w:val="000179DF"/>
    <w:rsid w:val="0002011E"/>
    <w:rsid w:val="00020921"/>
    <w:rsid w:val="000209F8"/>
    <w:rsid w:val="00021636"/>
    <w:rsid w:val="000219FB"/>
    <w:rsid w:val="0002355A"/>
    <w:rsid w:val="00023E60"/>
    <w:rsid w:val="000243C2"/>
    <w:rsid w:val="00024DC5"/>
    <w:rsid w:val="00024EC8"/>
    <w:rsid w:val="00025134"/>
    <w:rsid w:val="00025983"/>
    <w:rsid w:val="00025BE5"/>
    <w:rsid w:val="00025E5C"/>
    <w:rsid w:val="00025EE2"/>
    <w:rsid w:val="00025FC6"/>
    <w:rsid w:val="0002627D"/>
    <w:rsid w:val="000268D3"/>
    <w:rsid w:val="000268E5"/>
    <w:rsid w:val="00026AE9"/>
    <w:rsid w:val="00026BCA"/>
    <w:rsid w:val="0002723D"/>
    <w:rsid w:val="0002739D"/>
    <w:rsid w:val="0003016E"/>
    <w:rsid w:val="00030B7A"/>
    <w:rsid w:val="00030FF4"/>
    <w:rsid w:val="00031CBF"/>
    <w:rsid w:val="000320B5"/>
    <w:rsid w:val="0003245C"/>
    <w:rsid w:val="0003300D"/>
    <w:rsid w:val="00033EB1"/>
    <w:rsid w:val="00034BB0"/>
    <w:rsid w:val="00035100"/>
    <w:rsid w:val="00035C46"/>
    <w:rsid w:val="00035C60"/>
    <w:rsid w:val="0003615F"/>
    <w:rsid w:val="0003629B"/>
    <w:rsid w:val="00036A4B"/>
    <w:rsid w:val="00036F08"/>
    <w:rsid w:val="0003787E"/>
    <w:rsid w:val="00037CC4"/>
    <w:rsid w:val="00037D24"/>
    <w:rsid w:val="00040830"/>
    <w:rsid w:val="00040EC5"/>
    <w:rsid w:val="000410B8"/>
    <w:rsid w:val="00041122"/>
    <w:rsid w:val="000413D8"/>
    <w:rsid w:val="000415C0"/>
    <w:rsid w:val="00041980"/>
    <w:rsid w:val="000422F2"/>
    <w:rsid w:val="00042323"/>
    <w:rsid w:val="00042437"/>
    <w:rsid w:val="000438C4"/>
    <w:rsid w:val="00043A67"/>
    <w:rsid w:val="00043CC1"/>
    <w:rsid w:val="00043E07"/>
    <w:rsid w:val="000441AB"/>
    <w:rsid w:val="000457F2"/>
    <w:rsid w:val="000458B0"/>
    <w:rsid w:val="00046202"/>
    <w:rsid w:val="00046640"/>
    <w:rsid w:val="000469E0"/>
    <w:rsid w:val="00046D32"/>
    <w:rsid w:val="000473EF"/>
    <w:rsid w:val="00047D74"/>
    <w:rsid w:val="0005008C"/>
    <w:rsid w:val="0005034D"/>
    <w:rsid w:val="0005237A"/>
    <w:rsid w:val="000524CE"/>
    <w:rsid w:val="00052552"/>
    <w:rsid w:val="00052920"/>
    <w:rsid w:val="00052CF4"/>
    <w:rsid w:val="00053206"/>
    <w:rsid w:val="00053483"/>
    <w:rsid w:val="0005375D"/>
    <w:rsid w:val="00053F5F"/>
    <w:rsid w:val="00053F6A"/>
    <w:rsid w:val="00054A0F"/>
    <w:rsid w:val="000558D4"/>
    <w:rsid w:val="00055A55"/>
    <w:rsid w:val="0005607F"/>
    <w:rsid w:val="00056360"/>
    <w:rsid w:val="00056ADA"/>
    <w:rsid w:val="00057455"/>
    <w:rsid w:val="00057577"/>
    <w:rsid w:val="00057701"/>
    <w:rsid w:val="0005786A"/>
    <w:rsid w:val="000579A0"/>
    <w:rsid w:val="00057B70"/>
    <w:rsid w:val="00057D23"/>
    <w:rsid w:val="00057E44"/>
    <w:rsid w:val="000601AB"/>
    <w:rsid w:val="00060843"/>
    <w:rsid w:val="00060A6A"/>
    <w:rsid w:val="00061033"/>
    <w:rsid w:val="0006120E"/>
    <w:rsid w:val="00061480"/>
    <w:rsid w:val="0006194A"/>
    <w:rsid w:val="00061A85"/>
    <w:rsid w:val="000636DB"/>
    <w:rsid w:val="00063CFE"/>
    <w:rsid w:val="00063D84"/>
    <w:rsid w:val="000640E7"/>
    <w:rsid w:val="00064139"/>
    <w:rsid w:val="000641C9"/>
    <w:rsid w:val="0006425D"/>
    <w:rsid w:val="00064428"/>
    <w:rsid w:val="00064FA3"/>
    <w:rsid w:val="000651CF"/>
    <w:rsid w:val="00065328"/>
    <w:rsid w:val="00065B08"/>
    <w:rsid w:val="00066BD3"/>
    <w:rsid w:val="00066CDB"/>
    <w:rsid w:val="00067126"/>
    <w:rsid w:val="000673A6"/>
    <w:rsid w:val="000674F8"/>
    <w:rsid w:val="00067B1E"/>
    <w:rsid w:val="00067D13"/>
    <w:rsid w:val="0007112D"/>
    <w:rsid w:val="000717C0"/>
    <w:rsid w:val="00071BC4"/>
    <w:rsid w:val="00071F47"/>
    <w:rsid w:val="0007200B"/>
    <w:rsid w:val="000721A3"/>
    <w:rsid w:val="000737A0"/>
    <w:rsid w:val="000741C5"/>
    <w:rsid w:val="00074354"/>
    <w:rsid w:val="000748A5"/>
    <w:rsid w:val="000748DB"/>
    <w:rsid w:val="00075621"/>
    <w:rsid w:val="00075B1D"/>
    <w:rsid w:val="00075C7C"/>
    <w:rsid w:val="000800FB"/>
    <w:rsid w:val="00080B64"/>
    <w:rsid w:val="00081208"/>
    <w:rsid w:val="000814B4"/>
    <w:rsid w:val="00081656"/>
    <w:rsid w:val="000817C3"/>
    <w:rsid w:val="00081AFF"/>
    <w:rsid w:val="00082E49"/>
    <w:rsid w:val="00082FDB"/>
    <w:rsid w:val="00083295"/>
    <w:rsid w:val="000838A8"/>
    <w:rsid w:val="00083ACA"/>
    <w:rsid w:val="00083AD0"/>
    <w:rsid w:val="0008430B"/>
    <w:rsid w:val="00084AC5"/>
    <w:rsid w:val="00084CCA"/>
    <w:rsid w:val="00085C86"/>
    <w:rsid w:val="00086BE4"/>
    <w:rsid w:val="00087347"/>
    <w:rsid w:val="00087861"/>
    <w:rsid w:val="00090229"/>
    <w:rsid w:val="00090F44"/>
    <w:rsid w:val="0009102C"/>
    <w:rsid w:val="0009110A"/>
    <w:rsid w:val="000919A5"/>
    <w:rsid w:val="000920E5"/>
    <w:rsid w:val="000927F1"/>
    <w:rsid w:val="00092D19"/>
    <w:rsid w:val="000930B2"/>
    <w:rsid w:val="000931BF"/>
    <w:rsid w:val="0009332E"/>
    <w:rsid w:val="000946D5"/>
    <w:rsid w:val="00095817"/>
    <w:rsid w:val="0009585C"/>
    <w:rsid w:val="00096034"/>
    <w:rsid w:val="00096CAA"/>
    <w:rsid w:val="00096CC4"/>
    <w:rsid w:val="0009790F"/>
    <w:rsid w:val="0009798A"/>
    <w:rsid w:val="000979C5"/>
    <w:rsid w:val="000A018A"/>
    <w:rsid w:val="000A05C2"/>
    <w:rsid w:val="000A0DC5"/>
    <w:rsid w:val="000A164C"/>
    <w:rsid w:val="000A1EB3"/>
    <w:rsid w:val="000A2215"/>
    <w:rsid w:val="000A2717"/>
    <w:rsid w:val="000A3AE4"/>
    <w:rsid w:val="000A3E3B"/>
    <w:rsid w:val="000A3FAC"/>
    <w:rsid w:val="000A40D1"/>
    <w:rsid w:val="000A4CCB"/>
    <w:rsid w:val="000A4D20"/>
    <w:rsid w:val="000A5517"/>
    <w:rsid w:val="000A6546"/>
    <w:rsid w:val="000A660D"/>
    <w:rsid w:val="000A689F"/>
    <w:rsid w:val="000A6A3C"/>
    <w:rsid w:val="000A6BAC"/>
    <w:rsid w:val="000A6DAA"/>
    <w:rsid w:val="000A7039"/>
    <w:rsid w:val="000A73A7"/>
    <w:rsid w:val="000A74A5"/>
    <w:rsid w:val="000B04CD"/>
    <w:rsid w:val="000B0FFF"/>
    <w:rsid w:val="000B1032"/>
    <w:rsid w:val="000B155C"/>
    <w:rsid w:val="000B18CE"/>
    <w:rsid w:val="000B1DE0"/>
    <w:rsid w:val="000B1E47"/>
    <w:rsid w:val="000B3559"/>
    <w:rsid w:val="000B3689"/>
    <w:rsid w:val="000B39F2"/>
    <w:rsid w:val="000B3CC8"/>
    <w:rsid w:val="000B3F5C"/>
    <w:rsid w:val="000B40D1"/>
    <w:rsid w:val="000B43DD"/>
    <w:rsid w:val="000B4C34"/>
    <w:rsid w:val="000B5224"/>
    <w:rsid w:val="000B554A"/>
    <w:rsid w:val="000B58E0"/>
    <w:rsid w:val="000B6422"/>
    <w:rsid w:val="000B76C5"/>
    <w:rsid w:val="000B7B1F"/>
    <w:rsid w:val="000C0F2B"/>
    <w:rsid w:val="000C1292"/>
    <w:rsid w:val="000C204E"/>
    <w:rsid w:val="000C2613"/>
    <w:rsid w:val="000C2632"/>
    <w:rsid w:val="000C29DD"/>
    <w:rsid w:val="000C2CD6"/>
    <w:rsid w:val="000C3447"/>
    <w:rsid w:val="000C3893"/>
    <w:rsid w:val="000C39AD"/>
    <w:rsid w:val="000C51CB"/>
    <w:rsid w:val="000C5F1A"/>
    <w:rsid w:val="000C65F4"/>
    <w:rsid w:val="000C6A3A"/>
    <w:rsid w:val="000C6C33"/>
    <w:rsid w:val="000C6D06"/>
    <w:rsid w:val="000C6D94"/>
    <w:rsid w:val="000D0097"/>
    <w:rsid w:val="000D024B"/>
    <w:rsid w:val="000D0477"/>
    <w:rsid w:val="000D060F"/>
    <w:rsid w:val="000D0F99"/>
    <w:rsid w:val="000D2ACF"/>
    <w:rsid w:val="000D2DE9"/>
    <w:rsid w:val="000D3884"/>
    <w:rsid w:val="000D4240"/>
    <w:rsid w:val="000D455B"/>
    <w:rsid w:val="000D45BA"/>
    <w:rsid w:val="000D5145"/>
    <w:rsid w:val="000D59EA"/>
    <w:rsid w:val="000D5B0C"/>
    <w:rsid w:val="000D5F06"/>
    <w:rsid w:val="000D6278"/>
    <w:rsid w:val="000D65D0"/>
    <w:rsid w:val="000D69F7"/>
    <w:rsid w:val="000D7867"/>
    <w:rsid w:val="000D7AD9"/>
    <w:rsid w:val="000E0D2F"/>
    <w:rsid w:val="000E10CF"/>
    <w:rsid w:val="000E2055"/>
    <w:rsid w:val="000E24D1"/>
    <w:rsid w:val="000E26F6"/>
    <w:rsid w:val="000E2972"/>
    <w:rsid w:val="000E2E19"/>
    <w:rsid w:val="000E31FE"/>
    <w:rsid w:val="000E35C6"/>
    <w:rsid w:val="000E36EE"/>
    <w:rsid w:val="000E37EA"/>
    <w:rsid w:val="000E3843"/>
    <w:rsid w:val="000E4A68"/>
    <w:rsid w:val="000E4ACF"/>
    <w:rsid w:val="000E5017"/>
    <w:rsid w:val="000E55C7"/>
    <w:rsid w:val="000E646C"/>
    <w:rsid w:val="000E6492"/>
    <w:rsid w:val="000E6686"/>
    <w:rsid w:val="000E7466"/>
    <w:rsid w:val="000F019E"/>
    <w:rsid w:val="000F0352"/>
    <w:rsid w:val="000F0359"/>
    <w:rsid w:val="000F06AA"/>
    <w:rsid w:val="000F0FD0"/>
    <w:rsid w:val="000F1813"/>
    <w:rsid w:val="000F1D51"/>
    <w:rsid w:val="000F2B9F"/>
    <w:rsid w:val="000F47A3"/>
    <w:rsid w:val="000F4B57"/>
    <w:rsid w:val="000F61EA"/>
    <w:rsid w:val="000F6DF9"/>
    <w:rsid w:val="000F7454"/>
    <w:rsid w:val="000F7724"/>
    <w:rsid w:val="0010103B"/>
    <w:rsid w:val="00102103"/>
    <w:rsid w:val="00102B17"/>
    <w:rsid w:val="00102BC9"/>
    <w:rsid w:val="00102F81"/>
    <w:rsid w:val="0010372E"/>
    <w:rsid w:val="00103869"/>
    <w:rsid w:val="001039D1"/>
    <w:rsid w:val="00103A67"/>
    <w:rsid w:val="001048DF"/>
    <w:rsid w:val="00104BBD"/>
    <w:rsid w:val="00106434"/>
    <w:rsid w:val="00106DF7"/>
    <w:rsid w:val="00107010"/>
    <w:rsid w:val="001072EB"/>
    <w:rsid w:val="001100E5"/>
    <w:rsid w:val="00111051"/>
    <w:rsid w:val="00112006"/>
    <w:rsid w:val="0011377F"/>
    <w:rsid w:val="00113FD1"/>
    <w:rsid w:val="00113FDD"/>
    <w:rsid w:val="00114412"/>
    <w:rsid w:val="001144F3"/>
    <w:rsid w:val="00114B78"/>
    <w:rsid w:val="001150C6"/>
    <w:rsid w:val="00115587"/>
    <w:rsid w:val="00115C85"/>
    <w:rsid w:val="00115EDD"/>
    <w:rsid w:val="00121455"/>
    <w:rsid w:val="0012188F"/>
    <w:rsid w:val="001220D9"/>
    <w:rsid w:val="001227BF"/>
    <w:rsid w:val="00122F1F"/>
    <w:rsid w:val="001231D7"/>
    <w:rsid w:val="001236B0"/>
    <w:rsid w:val="00124183"/>
    <w:rsid w:val="00124306"/>
    <w:rsid w:val="00124E3D"/>
    <w:rsid w:val="00124F46"/>
    <w:rsid w:val="00124F63"/>
    <w:rsid w:val="0012540E"/>
    <w:rsid w:val="001256A6"/>
    <w:rsid w:val="00125D6B"/>
    <w:rsid w:val="00125D8D"/>
    <w:rsid w:val="00125DF0"/>
    <w:rsid w:val="00125EED"/>
    <w:rsid w:val="00125F48"/>
    <w:rsid w:val="00125FC5"/>
    <w:rsid w:val="00126470"/>
    <w:rsid w:val="00126B02"/>
    <w:rsid w:val="001274D9"/>
    <w:rsid w:val="001278B0"/>
    <w:rsid w:val="00127EE4"/>
    <w:rsid w:val="0013055E"/>
    <w:rsid w:val="00131275"/>
    <w:rsid w:val="00131CF5"/>
    <w:rsid w:val="0013228D"/>
    <w:rsid w:val="0013300D"/>
    <w:rsid w:val="0013345B"/>
    <w:rsid w:val="00133CAD"/>
    <w:rsid w:val="00134056"/>
    <w:rsid w:val="00134A1E"/>
    <w:rsid w:val="00135147"/>
    <w:rsid w:val="00135444"/>
    <w:rsid w:val="00135641"/>
    <w:rsid w:val="001356D4"/>
    <w:rsid w:val="00135F79"/>
    <w:rsid w:val="00137059"/>
    <w:rsid w:val="00137816"/>
    <w:rsid w:val="00140624"/>
    <w:rsid w:val="00140C55"/>
    <w:rsid w:val="001418F7"/>
    <w:rsid w:val="00141E26"/>
    <w:rsid w:val="0014300D"/>
    <w:rsid w:val="00143208"/>
    <w:rsid w:val="0014385D"/>
    <w:rsid w:val="00143987"/>
    <w:rsid w:val="00143CA7"/>
    <w:rsid w:val="00143DFC"/>
    <w:rsid w:val="00144A9F"/>
    <w:rsid w:val="00144BC2"/>
    <w:rsid w:val="00144E23"/>
    <w:rsid w:val="00144EDD"/>
    <w:rsid w:val="001452D4"/>
    <w:rsid w:val="00145650"/>
    <w:rsid w:val="001462E5"/>
    <w:rsid w:val="00146322"/>
    <w:rsid w:val="00146C5C"/>
    <w:rsid w:val="00146DCD"/>
    <w:rsid w:val="00146EC3"/>
    <w:rsid w:val="001472E1"/>
    <w:rsid w:val="00147909"/>
    <w:rsid w:val="00147A76"/>
    <w:rsid w:val="001506A0"/>
    <w:rsid w:val="00150E23"/>
    <w:rsid w:val="00150FDB"/>
    <w:rsid w:val="001512AA"/>
    <w:rsid w:val="001515EE"/>
    <w:rsid w:val="00151FE8"/>
    <w:rsid w:val="0015224C"/>
    <w:rsid w:val="00152A81"/>
    <w:rsid w:val="00152B34"/>
    <w:rsid w:val="00153BF1"/>
    <w:rsid w:val="00154F01"/>
    <w:rsid w:val="001554BC"/>
    <w:rsid w:val="00155DA8"/>
    <w:rsid w:val="00155E31"/>
    <w:rsid w:val="00155FB0"/>
    <w:rsid w:val="00156C70"/>
    <w:rsid w:val="00156DA4"/>
    <w:rsid w:val="00156DA8"/>
    <w:rsid w:val="00157154"/>
    <w:rsid w:val="0015728F"/>
    <w:rsid w:val="001574CD"/>
    <w:rsid w:val="00157726"/>
    <w:rsid w:val="00157ECB"/>
    <w:rsid w:val="0016110D"/>
    <w:rsid w:val="001612DD"/>
    <w:rsid w:val="00161513"/>
    <w:rsid w:val="00161931"/>
    <w:rsid w:val="00161972"/>
    <w:rsid w:val="00161C97"/>
    <w:rsid w:val="00162181"/>
    <w:rsid w:val="0016218E"/>
    <w:rsid w:val="001628B2"/>
    <w:rsid w:val="00162F87"/>
    <w:rsid w:val="001633E2"/>
    <w:rsid w:val="00163834"/>
    <w:rsid w:val="00163DC5"/>
    <w:rsid w:val="00163DFD"/>
    <w:rsid w:val="00163EBB"/>
    <w:rsid w:val="00165347"/>
    <w:rsid w:val="001659EF"/>
    <w:rsid w:val="0016664C"/>
    <w:rsid w:val="00166E26"/>
    <w:rsid w:val="00167322"/>
    <w:rsid w:val="00167975"/>
    <w:rsid w:val="001708F7"/>
    <w:rsid w:val="001708FC"/>
    <w:rsid w:val="00171489"/>
    <w:rsid w:val="00172706"/>
    <w:rsid w:val="00172871"/>
    <w:rsid w:val="00172892"/>
    <w:rsid w:val="00173D0C"/>
    <w:rsid w:val="00174E37"/>
    <w:rsid w:val="00174EB7"/>
    <w:rsid w:val="001756FB"/>
    <w:rsid w:val="00176376"/>
    <w:rsid w:val="0017647C"/>
    <w:rsid w:val="00176601"/>
    <w:rsid w:val="00176A2D"/>
    <w:rsid w:val="00176FC9"/>
    <w:rsid w:val="00177272"/>
    <w:rsid w:val="00177A37"/>
    <w:rsid w:val="00177B7D"/>
    <w:rsid w:val="00180D01"/>
    <w:rsid w:val="00180DA1"/>
    <w:rsid w:val="00180E88"/>
    <w:rsid w:val="001817FE"/>
    <w:rsid w:val="00181926"/>
    <w:rsid w:val="00181A5C"/>
    <w:rsid w:val="00181A73"/>
    <w:rsid w:val="00181CC9"/>
    <w:rsid w:val="00181EAD"/>
    <w:rsid w:val="001827D5"/>
    <w:rsid w:val="00182F00"/>
    <w:rsid w:val="001830B0"/>
    <w:rsid w:val="001833D9"/>
    <w:rsid w:val="001835C2"/>
    <w:rsid w:val="001835CA"/>
    <w:rsid w:val="00183CCE"/>
    <w:rsid w:val="00183E90"/>
    <w:rsid w:val="00184345"/>
    <w:rsid w:val="001850C3"/>
    <w:rsid w:val="001853DB"/>
    <w:rsid w:val="0018572C"/>
    <w:rsid w:val="001870C0"/>
    <w:rsid w:val="001870D4"/>
    <w:rsid w:val="0018751F"/>
    <w:rsid w:val="001876D4"/>
    <w:rsid w:val="00187882"/>
    <w:rsid w:val="001878BE"/>
    <w:rsid w:val="00187C50"/>
    <w:rsid w:val="00190021"/>
    <w:rsid w:val="0019075B"/>
    <w:rsid w:val="0019088A"/>
    <w:rsid w:val="001908DD"/>
    <w:rsid w:val="00190AF8"/>
    <w:rsid w:val="00191571"/>
    <w:rsid w:val="00191626"/>
    <w:rsid w:val="00191843"/>
    <w:rsid w:val="001918F5"/>
    <w:rsid w:val="00193273"/>
    <w:rsid w:val="001937D0"/>
    <w:rsid w:val="00193A05"/>
    <w:rsid w:val="00193C02"/>
    <w:rsid w:val="00194065"/>
    <w:rsid w:val="00194183"/>
    <w:rsid w:val="0019418C"/>
    <w:rsid w:val="00194F85"/>
    <w:rsid w:val="00195525"/>
    <w:rsid w:val="0019556B"/>
    <w:rsid w:val="001967BC"/>
    <w:rsid w:val="001979F6"/>
    <w:rsid w:val="00197F32"/>
    <w:rsid w:val="001A05D8"/>
    <w:rsid w:val="001A1E1A"/>
    <w:rsid w:val="001A217D"/>
    <w:rsid w:val="001A2239"/>
    <w:rsid w:val="001A2C1C"/>
    <w:rsid w:val="001A40A4"/>
    <w:rsid w:val="001A4959"/>
    <w:rsid w:val="001A4A44"/>
    <w:rsid w:val="001A4A83"/>
    <w:rsid w:val="001A4F70"/>
    <w:rsid w:val="001A5392"/>
    <w:rsid w:val="001A55EB"/>
    <w:rsid w:val="001A584C"/>
    <w:rsid w:val="001A5A56"/>
    <w:rsid w:val="001A7AD5"/>
    <w:rsid w:val="001B0EEA"/>
    <w:rsid w:val="001B0F7D"/>
    <w:rsid w:val="001B0FA2"/>
    <w:rsid w:val="001B0FD5"/>
    <w:rsid w:val="001B111E"/>
    <w:rsid w:val="001B18A7"/>
    <w:rsid w:val="001B1D0B"/>
    <w:rsid w:val="001B1FB1"/>
    <w:rsid w:val="001B247E"/>
    <w:rsid w:val="001B2626"/>
    <w:rsid w:val="001B309B"/>
    <w:rsid w:val="001B395F"/>
    <w:rsid w:val="001B3980"/>
    <w:rsid w:val="001B3A9D"/>
    <w:rsid w:val="001B3CB1"/>
    <w:rsid w:val="001B3D4B"/>
    <w:rsid w:val="001B3FBC"/>
    <w:rsid w:val="001B42EF"/>
    <w:rsid w:val="001B435D"/>
    <w:rsid w:val="001B47A5"/>
    <w:rsid w:val="001B489E"/>
    <w:rsid w:val="001B533F"/>
    <w:rsid w:val="001B5D2E"/>
    <w:rsid w:val="001B63C0"/>
    <w:rsid w:val="001B6AEA"/>
    <w:rsid w:val="001B72D9"/>
    <w:rsid w:val="001B758E"/>
    <w:rsid w:val="001B78F3"/>
    <w:rsid w:val="001C062E"/>
    <w:rsid w:val="001C3447"/>
    <w:rsid w:val="001C3644"/>
    <w:rsid w:val="001C39BC"/>
    <w:rsid w:val="001C3B8D"/>
    <w:rsid w:val="001C3FF5"/>
    <w:rsid w:val="001C4286"/>
    <w:rsid w:val="001C46C1"/>
    <w:rsid w:val="001C4786"/>
    <w:rsid w:val="001C4961"/>
    <w:rsid w:val="001C4D53"/>
    <w:rsid w:val="001C54E3"/>
    <w:rsid w:val="001C65ED"/>
    <w:rsid w:val="001C6A7A"/>
    <w:rsid w:val="001C6E11"/>
    <w:rsid w:val="001C6F31"/>
    <w:rsid w:val="001C7264"/>
    <w:rsid w:val="001C76DA"/>
    <w:rsid w:val="001C7C1B"/>
    <w:rsid w:val="001C7E9E"/>
    <w:rsid w:val="001D03B6"/>
    <w:rsid w:val="001D04E4"/>
    <w:rsid w:val="001D066B"/>
    <w:rsid w:val="001D06B5"/>
    <w:rsid w:val="001D11C9"/>
    <w:rsid w:val="001D2616"/>
    <w:rsid w:val="001D286E"/>
    <w:rsid w:val="001D39B7"/>
    <w:rsid w:val="001D39F3"/>
    <w:rsid w:val="001D3A81"/>
    <w:rsid w:val="001D3AC6"/>
    <w:rsid w:val="001D3B5E"/>
    <w:rsid w:val="001D3CE7"/>
    <w:rsid w:val="001D3D72"/>
    <w:rsid w:val="001D4BD9"/>
    <w:rsid w:val="001D52F3"/>
    <w:rsid w:val="001D54BE"/>
    <w:rsid w:val="001D5E1C"/>
    <w:rsid w:val="001D5E88"/>
    <w:rsid w:val="001D5FA2"/>
    <w:rsid w:val="001D6139"/>
    <w:rsid w:val="001D615C"/>
    <w:rsid w:val="001D6620"/>
    <w:rsid w:val="001D704C"/>
    <w:rsid w:val="001D7623"/>
    <w:rsid w:val="001D76A4"/>
    <w:rsid w:val="001D7C9F"/>
    <w:rsid w:val="001E0432"/>
    <w:rsid w:val="001E0847"/>
    <w:rsid w:val="001E086A"/>
    <w:rsid w:val="001E0C7C"/>
    <w:rsid w:val="001E0E44"/>
    <w:rsid w:val="001E0EC2"/>
    <w:rsid w:val="001E11F4"/>
    <w:rsid w:val="001E1911"/>
    <w:rsid w:val="001E28B8"/>
    <w:rsid w:val="001E2B98"/>
    <w:rsid w:val="001E2BCB"/>
    <w:rsid w:val="001E42A9"/>
    <w:rsid w:val="001E546E"/>
    <w:rsid w:val="001E57E2"/>
    <w:rsid w:val="001E581E"/>
    <w:rsid w:val="001E58B1"/>
    <w:rsid w:val="001E5D59"/>
    <w:rsid w:val="001E6130"/>
    <w:rsid w:val="001E62BE"/>
    <w:rsid w:val="001E6964"/>
    <w:rsid w:val="001E69F8"/>
    <w:rsid w:val="001E6E85"/>
    <w:rsid w:val="001E7097"/>
    <w:rsid w:val="001E75FD"/>
    <w:rsid w:val="001E7A77"/>
    <w:rsid w:val="001E7BE3"/>
    <w:rsid w:val="001E7D0C"/>
    <w:rsid w:val="001F02B8"/>
    <w:rsid w:val="001F0594"/>
    <w:rsid w:val="001F05D7"/>
    <w:rsid w:val="001F0A06"/>
    <w:rsid w:val="001F0A5A"/>
    <w:rsid w:val="001F0E6F"/>
    <w:rsid w:val="001F11A3"/>
    <w:rsid w:val="001F1304"/>
    <w:rsid w:val="001F1434"/>
    <w:rsid w:val="001F15E2"/>
    <w:rsid w:val="001F1A9A"/>
    <w:rsid w:val="001F3633"/>
    <w:rsid w:val="001F4F45"/>
    <w:rsid w:val="001F51A4"/>
    <w:rsid w:val="001F5284"/>
    <w:rsid w:val="001F56EB"/>
    <w:rsid w:val="001F59D3"/>
    <w:rsid w:val="001F5F28"/>
    <w:rsid w:val="001F612F"/>
    <w:rsid w:val="001F691B"/>
    <w:rsid w:val="001F6961"/>
    <w:rsid w:val="001F6FB7"/>
    <w:rsid w:val="001F72D5"/>
    <w:rsid w:val="001F7875"/>
    <w:rsid w:val="0020009B"/>
    <w:rsid w:val="002006F5"/>
    <w:rsid w:val="00200CAE"/>
    <w:rsid w:val="00201575"/>
    <w:rsid w:val="00201689"/>
    <w:rsid w:val="00202031"/>
    <w:rsid w:val="002022BD"/>
    <w:rsid w:val="002032CB"/>
    <w:rsid w:val="00204AE6"/>
    <w:rsid w:val="00205786"/>
    <w:rsid w:val="0020621F"/>
    <w:rsid w:val="0020631F"/>
    <w:rsid w:val="002063E4"/>
    <w:rsid w:val="002063E7"/>
    <w:rsid w:val="00206E9C"/>
    <w:rsid w:val="00207373"/>
    <w:rsid w:val="00207810"/>
    <w:rsid w:val="00207C47"/>
    <w:rsid w:val="00210E6F"/>
    <w:rsid w:val="00210F1E"/>
    <w:rsid w:val="0021176D"/>
    <w:rsid w:val="00212881"/>
    <w:rsid w:val="002130F1"/>
    <w:rsid w:val="00213BF4"/>
    <w:rsid w:val="002149EC"/>
    <w:rsid w:val="00214B9A"/>
    <w:rsid w:val="00214C40"/>
    <w:rsid w:val="00215351"/>
    <w:rsid w:val="002155EF"/>
    <w:rsid w:val="00215726"/>
    <w:rsid w:val="00215813"/>
    <w:rsid w:val="002167EF"/>
    <w:rsid w:val="00216E45"/>
    <w:rsid w:val="002170B9"/>
    <w:rsid w:val="00217418"/>
    <w:rsid w:val="002176E4"/>
    <w:rsid w:val="00217A91"/>
    <w:rsid w:val="00217F26"/>
    <w:rsid w:val="002200E5"/>
    <w:rsid w:val="00220453"/>
    <w:rsid w:val="002209F4"/>
    <w:rsid w:val="00220A6A"/>
    <w:rsid w:val="00220E1D"/>
    <w:rsid w:val="0022426B"/>
    <w:rsid w:val="002258D1"/>
    <w:rsid w:val="00225BB2"/>
    <w:rsid w:val="00226226"/>
    <w:rsid w:val="0022627D"/>
    <w:rsid w:val="002275AA"/>
    <w:rsid w:val="00227E5E"/>
    <w:rsid w:val="0023039D"/>
    <w:rsid w:val="002322B1"/>
    <w:rsid w:val="00232432"/>
    <w:rsid w:val="00232463"/>
    <w:rsid w:val="00232913"/>
    <w:rsid w:val="00232DBE"/>
    <w:rsid w:val="002333BB"/>
    <w:rsid w:val="00233F5E"/>
    <w:rsid w:val="00234086"/>
    <w:rsid w:val="00235248"/>
    <w:rsid w:val="00235DFE"/>
    <w:rsid w:val="002361C5"/>
    <w:rsid w:val="002367D8"/>
    <w:rsid w:val="00236A86"/>
    <w:rsid w:val="00237125"/>
    <w:rsid w:val="0024010C"/>
    <w:rsid w:val="00240AAA"/>
    <w:rsid w:val="00240DEC"/>
    <w:rsid w:val="00240EDB"/>
    <w:rsid w:val="00241305"/>
    <w:rsid w:val="0024168D"/>
    <w:rsid w:val="00242C0D"/>
    <w:rsid w:val="0024301C"/>
    <w:rsid w:val="00243426"/>
    <w:rsid w:val="002437D1"/>
    <w:rsid w:val="00243857"/>
    <w:rsid w:val="00243F17"/>
    <w:rsid w:val="0024452F"/>
    <w:rsid w:val="00245894"/>
    <w:rsid w:val="00245C7F"/>
    <w:rsid w:val="00245D92"/>
    <w:rsid w:val="00246B45"/>
    <w:rsid w:val="00246EE9"/>
    <w:rsid w:val="00247114"/>
    <w:rsid w:val="0024754F"/>
    <w:rsid w:val="0025122D"/>
    <w:rsid w:val="00251508"/>
    <w:rsid w:val="00251E2F"/>
    <w:rsid w:val="00251E7C"/>
    <w:rsid w:val="00251F1C"/>
    <w:rsid w:val="00252082"/>
    <w:rsid w:val="00252528"/>
    <w:rsid w:val="002528DE"/>
    <w:rsid w:val="00252B39"/>
    <w:rsid w:val="00252C02"/>
    <w:rsid w:val="00252C43"/>
    <w:rsid w:val="00252CCA"/>
    <w:rsid w:val="00253951"/>
    <w:rsid w:val="00254689"/>
    <w:rsid w:val="002556F0"/>
    <w:rsid w:val="002558A1"/>
    <w:rsid w:val="0025631F"/>
    <w:rsid w:val="00256437"/>
    <w:rsid w:val="00256F57"/>
    <w:rsid w:val="00257FE3"/>
    <w:rsid w:val="0026094A"/>
    <w:rsid w:val="0026178D"/>
    <w:rsid w:val="002619B2"/>
    <w:rsid w:val="0026216D"/>
    <w:rsid w:val="00262BED"/>
    <w:rsid w:val="002634DF"/>
    <w:rsid w:val="00263921"/>
    <w:rsid w:val="00263FF9"/>
    <w:rsid w:val="00264292"/>
    <w:rsid w:val="002642F0"/>
    <w:rsid w:val="002645F8"/>
    <w:rsid w:val="00265272"/>
    <w:rsid w:val="00265A32"/>
    <w:rsid w:val="00265BCA"/>
    <w:rsid w:val="00265BD2"/>
    <w:rsid w:val="00266404"/>
    <w:rsid w:val="00266563"/>
    <w:rsid w:val="00266828"/>
    <w:rsid w:val="00266865"/>
    <w:rsid w:val="00266890"/>
    <w:rsid w:val="00267A6E"/>
    <w:rsid w:val="00267D4A"/>
    <w:rsid w:val="00270C93"/>
    <w:rsid w:val="00270F53"/>
    <w:rsid w:val="00271458"/>
    <w:rsid w:val="002714A8"/>
    <w:rsid w:val="00271529"/>
    <w:rsid w:val="002724CE"/>
    <w:rsid w:val="00272554"/>
    <w:rsid w:val="0027388D"/>
    <w:rsid w:val="002744EF"/>
    <w:rsid w:val="00274C17"/>
    <w:rsid w:val="00274CA4"/>
    <w:rsid w:val="00274FDB"/>
    <w:rsid w:val="002751CB"/>
    <w:rsid w:val="0027647C"/>
    <w:rsid w:val="00276B4B"/>
    <w:rsid w:val="00276D3D"/>
    <w:rsid w:val="00276DC7"/>
    <w:rsid w:val="00276E12"/>
    <w:rsid w:val="002805E1"/>
    <w:rsid w:val="00280629"/>
    <w:rsid w:val="00280AD7"/>
    <w:rsid w:val="00280D59"/>
    <w:rsid w:val="00280E3C"/>
    <w:rsid w:val="00281250"/>
    <w:rsid w:val="002823E7"/>
    <w:rsid w:val="002826F3"/>
    <w:rsid w:val="00283255"/>
    <w:rsid w:val="0028337B"/>
    <w:rsid w:val="002838AD"/>
    <w:rsid w:val="00283DE3"/>
    <w:rsid w:val="002841F3"/>
    <w:rsid w:val="00284D35"/>
    <w:rsid w:val="00286A38"/>
    <w:rsid w:val="002879F3"/>
    <w:rsid w:val="00287E00"/>
    <w:rsid w:val="00290A78"/>
    <w:rsid w:val="00291276"/>
    <w:rsid w:val="00291382"/>
    <w:rsid w:val="002917F5"/>
    <w:rsid w:val="00291BA9"/>
    <w:rsid w:val="0029228F"/>
    <w:rsid w:val="002928D9"/>
    <w:rsid w:val="00293043"/>
    <w:rsid w:val="00293564"/>
    <w:rsid w:val="00294323"/>
    <w:rsid w:val="00296738"/>
    <w:rsid w:val="00296A4D"/>
    <w:rsid w:val="00297204"/>
    <w:rsid w:val="002A0A24"/>
    <w:rsid w:val="002A0F57"/>
    <w:rsid w:val="002A17B2"/>
    <w:rsid w:val="002A1C38"/>
    <w:rsid w:val="002A2789"/>
    <w:rsid w:val="002A27C4"/>
    <w:rsid w:val="002A338B"/>
    <w:rsid w:val="002A3E04"/>
    <w:rsid w:val="002A3E8D"/>
    <w:rsid w:val="002A3EDA"/>
    <w:rsid w:val="002A43DD"/>
    <w:rsid w:val="002A48DD"/>
    <w:rsid w:val="002A508C"/>
    <w:rsid w:val="002A5120"/>
    <w:rsid w:val="002A571E"/>
    <w:rsid w:val="002A5D64"/>
    <w:rsid w:val="002A69D6"/>
    <w:rsid w:val="002A7C24"/>
    <w:rsid w:val="002A7E9D"/>
    <w:rsid w:val="002A7FBF"/>
    <w:rsid w:val="002B01CD"/>
    <w:rsid w:val="002B0201"/>
    <w:rsid w:val="002B048F"/>
    <w:rsid w:val="002B1129"/>
    <w:rsid w:val="002B17A6"/>
    <w:rsid w:val="002B1929"/>
    <w:rsid w:val="002B1AC5"/>
    <w:rsid w:val="002B2494"/>
    <w:rsid w:val="002B29C1"/>
    <w:rsid w:val="002B2CF9"/>
    <w:rsid w:val="002B34F8"/>
    <w:rsid w:val="002B4432"/>
    <w:rsid w:val="002B4515"/>
    <w:rsid w:val="002B4901"/>
    <w:rsid w:val="002B4AF1"/>
    <w:rsid w:val="002B54C8"/>
    <w:rsid w:val="002B5B85"/>
    <w:rsid w:val="002B5DD0"/>
    <w:rsid w:val="002B643C"/>
    <w:rsid w:val="002B6F05"/>
    <w:rsid w:val="002B79F7"/>
    <w:rsid w:val="002B7E94"/>
    <w:rsid w:val="002C02DA"/>
    <w:rsid w:val="002C0650"/>
    <w:rsid w:val="002C0652"/>
    <w:rsid w:val="002C17A2"/>
    <w:rsid w:val="002C1842"/>
    <w:rsid w:val="002C3288"/>
    <w:rsid w:val="002C33E0"/>
    <w:rsid w:val="002C446E"/>
    <w:rsid w:val="002C4CF6"/>
    <w:rsid w:val="002C4DFD"/>
    <w:rsid w:val="002C5083"/>
    <w:rsid w:val="002C5097"/>
    <w:rsid w:val="002C560F"/>
    <w:rsid w:val="002C5BA5"/>
    <w:rsid w:val="002C6838"/>
    <w:rsid w:val="002C70C7"/>
    <w:rsid w:val="002D0466"/>
    <w:rsid w:val="002D0536"/>
    <w:rsid w:val="002D1166"/>
    <w:rsid w:val="002D122D"/>
    <w:rsid w:val="002D17F2"/>
    <w:rsid w:val="002D1840"/>
    <w:rsid w:val="002D1F39"/>
    <w:rsid w:val="002D214F"/>
    <w:rsid w:val="002D280B"/>
    <w:rsid w:val="002D2BBC"/>
    <w:rsid w:val="002D2DAE"/>
    <w:rsid w:val="002D2F93"/>
    <w:rsid w:val="002D3A57"/>
    <w:rsid w:val="002D4BFD"/>
    <w:rsid w:val="002D511F"/>
    <w:rsid w:val="002D563E"/>
    <w:rsid w:val="002D5FF3"/>
    <w:rsid w:val="002D64F2"/>
    <w:rsid w:val="002D66AB"/>
    <w:rsid w:val="002D6826"/>
    <w:rsid w:val="002D6D7D"/>
    <w:rsid w:val="002D7DF7"/>
    <w:rsid w:val="002E00B2"/>
    <w:rsid w:val="002E02BC"/>
    <w:rsid w:val="002E02FC"/>
    <w:rsid w:val="002E095D"/>
    <w:rsid w:val="002E0AC9"/>
    <w:rsid w:val="002E0BC6"/>
    <w:rsid w:val="002E1442"/>
    <w:rsid w:val="002E19D9"/>
    <w:rsid w:val="002E1E1A"/>
    <w:rsid w:val="002E1F0E"/>
    <w:rsid w:val="002E21B3"/>
    <w:rsid w:val="002E227B"/>
    <w:rsid w:val="002E2AC0"/>
    <w:rsid w:val="002E2DE2"/>
    <w:rsid w:val="002E36F2"/>
    <w:rsid w:val="002E3A18"/>
    <w:rsid w:val="002E3A65"/>
    <w:rsid w:val="002E4022"/>
    <w:rsid w:val="002E4041"/>
    <w:rsid w:val="002E424C"/>
    <w:rsid w:val="002E4416"/>
    <w:rsid w:val="002E488F"/>
    <w:rsid w:val="002E4931"/>
    <w:rsid w:val="002E4BB4"/>
    <w:rsid w:val="002E5366"/>
    <w:rsid w:val="002E5549"/>
    <w:rsid w:val="002E56B6"/>
    <w:rsid w:val="002E5710"/>
    <w:rsid w:val="002E580B"/>
    <w:rsid w:val="002E61BB"/>
    <w:rsid w:val="002E7607"/>
    <w:rsid w:val="002F0513"/>
    <w:rsid w:val="002F0A73"/>
    <w:rsid w:val="002F11BF"/>
    <w:rsid w:val="002F182E"/>
    <w:rsid w:val="002F35A8"/>
    <w:rsid w:val="002F37D2"/>
    <w:rsid w:val="002F4B17"/>
    <w:rsid w:val="002F4E5B"/>
    <w:rsid w:val="002F5255"/>
    <w:rsid w:val="002F5A46"/>
    <w:rsid w:val="002F6900"/>
    <w:rsid w:val="002F6DB4"/>
    <w:rsid w:val="002F7095"/>
    <w:rsid w:val="002F77EA"/>
    <w:rsid w:val="002F7C3F"/>
    <w:rsid w:val="00300EF1"/>
    <w:rsid w:val="0030200D"/>
    <w:rsid w:val="003020B7"/>
    <w:rsid w:val="00302590"/>
    <w:rsid w:val="0030369C"/>
    <w:rsid w:val="00304823"/>
    <w:rsid w:val="00304A1E"/>
    <w:rsid w:val="00304EE7"/>
    <w:rsid w:val="00305463"/>
    <w:rsid w:val="00305A30"/>
    <w:rsid w:val="00307937"/>
    <w:rsid w:val="00307B79"/>
    <w:rsid w:val="00307F03"/>
    <w:rsid w:val="003103BB"/>
    <w:rsid w:val="003103D5"/>
    <w:rsid w:val="0031095F"/>
    <w:rsid w:val="00310A96"/>
    <w:rsid w:val="00310F9F"/>
    <w:rsid w:val="003110E7"/>
    <w:rsid w:val="00311121"/>
    <w:rsid w:val="003119BC"/>
    <w:rsid w:val="00311B5B"/>
    <w:rsid w:val="00312083"/>
    <w:rsid w:val="00312789"/>
    <w:rsid w:val="00312ECA"/>
    <w:rsid w:val="00313280"/>
    <w:rsid w:val="00313AD9"/>
    <w:rsid w:val="00313E96"/>
    <w:rsid w:val="00314543"/>
    <w:rsid w:val="00315257"/>
    <w:rsid w:val="00315651"/>
    <w:rsid w:val="00317C72"/>
    <w:rsid w:val="00320610"/>
    <w:rsid w:val="00320669"/>
    <w:rsid w:val="003206E6"/>
    <w:rsid w:val="00320A67"/>
    <w:rsid w:val="00320CA7"/>
    <w:rsid w:val="00320DD1"/>
    <w:rsid w:val="00321218"/>
    <w:rsid w:val="00321596"/>
    <w:rsid w:val="00321EFB"/>
    <w:rsid w:val="003226FF"/>
    <w:rsid w:val="00324092"/>
    <w:rsid w:val="00324652"/>
    <w:rsid w:val="00324948"/>
    <w:rsid w:val="00324FCC"/>
    <w:rsid w:val="0032648C"/>
    <w:rsid w:val="00327E6A"/>
    <w:rsid w:val="003300EF"/>
    <w:rsid w:val="003301A6"/>
    <w:rsid w:val="00330228"/>
    <w:rsid w:val="0033022D"/>
    <w:rsid w:val="00330339"/>
    <w:rsid w:val="00330758"/>
    <w:rsid w:val="00331058"/>
    <w:rsid w:val="00331782"/>
    <w:rsid w:val="00331F29"/>
    <w:rsid w:val="00331F36"/>
    <w:rsid w:val="003327E4"/>
    <w:rsid w:val="00332843"/>
    <w:rsid w:val="00333AD4"/>
    <w:rsid w:val="00333B91"/>
    <w:rsid w:val="0033488B"/>
    <w:rsid w:val="00334A6D"/>
    <w:rsid w:val="00334D34"/>
    <w:rsid w:val="00335135"/>
    <w:rsid w:val="00335660"/>
    <w:rsid w:val="00335A16"/>
    <w:rsid w:val="00335C5B"/>
    <w:rsid w:val="00335CCE"/>
    <w:rsid w:val="0033665D"/>
    <w:rsid w:val="00336DE9"/>
    <w:rsid w:val="003377E1"/>
    <w:rsid w:val="00337BE5"/>
    <w:rsid w:val="00337E6E"/>
    <w:rsid w:val="00337FDD"/>
    <w:rsid w:val="0034014E"/>
    <w:rsid w:val="003403B8"/>
    <w:rsid w:val="00340932"/>
    <w:rsid w:val="00340E5F"/>
    <w:rsid w:val="00341BD7"/>
    <w:rsid w:val="00341D84"/>
    <w:rsid w:val="00342541"/>
    <w:rsid w:val="00343881"/>
    <w:rsid w:val="00343B36"/>
    <w:rsid w:val="00343BF2"/>
    <w:rsid w:val="00343EA5"/>
    <w:rsid w:val="00343F4B"/>
    <w:rsid w:val="00344CC0"/>
    <w:rsid w:val="00344E0C"/>
    <w:rsid w:val="00345B82"/>
    <w:rsid w:val="003462E2"/>
    <w:rsid w:val="00346534"/>
    <w:rsid w:val="003467B6"/>
    <w:rsid w:val="0034692C"/>
    <w:rsid w:val="00346EF6"/>
    <w:rsid w:val="003472E4"/>
    <w:rsid w:val="00347876"/>
    <w:rsid w:val="00347935"/>
    <w:rsid w:val="00350602"/>
    <w:rsid w:val="00350959"/>
    <w:rsid w:val="00350AF5"/>
    <w:rsid w:val="00351CCF"/>
    <w:rsid w:val="0035230B"/>
    <w:rsid w:val="003526E5"/>
    <w:rsid w:val="00354050"/>
    <w:rsid w:val="003543CA"/>
    <w:rsid w:val="0035537E"/>
    <w:rsid w:val="00355834"/>
    <w:rsid w:val="003562C5"/>
    <w:rsid w:val="00356B6C"/>
    <w:rsid w:val="00356E37"/>
    <w:rsid w:val="00357395"/>
    <w:rsid w:val="0035769E"/>
    <w:rsid w:val="003578C0"/>
    <w:rsid w:val="00357ACC"/>
    <w:rsid w:val="00360555"/>
    <w:rsid w:val="003608F5"/>
    <w:rsid w:val="003609F9"/>
    <w:rsid w:val="00361AD4"/>
    <w:rsid w:val="0036226E"/>
    <w:rsid w:val="00362321"/>
    <w:rsid w:val="00362A08"/>
    <w:rsid w:val="00363201"/>
    <w:rsid w:val="00363845"/>
    <w:rsid w:val="00363B7B"/>
    <w:rsid w:val="00364ADB"/>
    <w:rsid w:val="00364ECB"/>
    <w:rsid w:val="00366477"/>
    <w:rsid w:val="00366682"/>
    <w:rsid w:val="0036671B"/>
    <w:rsid w:val="00366DE8"/>
    <w:rsid w:val="0036750C"/>
    <w:rsid w:val="0037073D"/>
    <w:rsid w:val="00370952"/>
    <w:rsid w:val="00371179"/>
    <w:rsid w:val="00371476"/>
    <w:rsid w:val="00371889"/>
    <w:rsid w:val="00371A20"/>
    <w:rsid w:val="00372046"/>
    <w:rsid w:val="003724B9"/>
    <w:rsid w:val="003724EA"/>
    <w:rsid w:val="0037286B"/>
    <w:rsid w:val="003729F2"/>
    <w:rsid w:val="003731A8"/>
    <w:rsid w:val="003734A9"/>
    <w:rsid w:val="003734CF"/>
    <w:rsid w:val="0037369D"/>
    <w:rsid w:val="00374B94"/>
    <w:rsid w:val="00375199"/>
    <w:rsid w:val="00375660"/>
    <w:rsid w:val="00375DF1"/>
    <w:rsid w:val="00376187"/>
    <w:rsid w:val="00376318"/>
    <w:rsid w:val="00376445"/>
    <w:rsid w:val="003767D7"/>
    <w:rsid w:val="0037694A"/>
    <w:rsid w:val="00376978"/>
    <w:rsid w:val="00376E7C"/>
    <w:rsid w:val="00377242"/>
    <w:rsid w:val="00377996"/>
    <w:rsid w:val="00377BE7"/>
    <w:rsid w:val="003800C8"/>
    <w:rsid w:val="00381868"/>
    <w:rsid w:val="00382A18"/>
    <w:rsid w:val="00382F2A"/>
    <w:rsid w:val="00383A49"/>
    <w:rsid w:val="00384E68"/>
    <w:rsid w:val="00385941"/>
    <w:rsid w:val="00385CD0"/>
    <w:rsid w:val="0038642C"/>
    <w:rsid w:val="0038693D"/>
    <w:rsid w:val="00387100"/>
    <w:rsid w:val="003873E1"/>
    <w:rsid w:val="003879FB"/>
    <w:rsid w:val="003909EE"/>
    <w:rsid w:val="00390CD5"/>
    <w:rsid w:val="00390F35"/>
    <w:rsid w:val="00391C40"/>
    <w:rsid w:val="00392535"/>
    <w:rsid w:val="003925EA"/>
    <w:rsid w:val="00392A50"/>
    <w:rsid w:val="00392C49"/>
    <w:rsid w:val="00393299"/>
    <w:rsid w:val="0039338A"/>
    <w:rsid w:val="0039410D"/>
    <w:rsid w:val="00394405"/>
    <w:rsid w:val="00394932"/>
    <w:rsid w:val="00395758"/>
    <w:rsid w:val="00395E97"/>
    <w:rsid w:val="003961B9"/>
    <w:rsid w:val="003972FC"/>
    <w:rsid w:val="00397C69"/>
    <w:rsid w:val="00397D0A"/>
    <w:rsid w:val="003A028E"/>
    <w:rsid w:val="003A039B"/>
    <w:rsid w:val="003A08C6"/>
    <w:rsid w:val="003A0CA5"/>
    <w:rsid w:val="003A10D8"/>
    <w:rsid w:val="003A1483"/>
    <w:rsid w:val="003A1621"/>
    <w:rsid w:val="003A16CF"/>
    <w:rsid w:val="003A23D1"/>
    <w:rsid w:val="003A2DB1"/>
    <w:rsid w:val="003A3957"/>
    <w:rsid w:val="003A3C5A"/>
    <w:rsid w:val="003A3D35"/>
    <w:rsid w:val="003A42BC"/>
    <w:rsid w:val="003A4B39"/>
    <w:rsid w:val="003A4DD7"/>
    <w:rsid w:val="003A555D"/>
    <w:rsid w:val="003A6319"/>
    <w:rsid w:val="003A6F5D"/>
    <w:rsid w:val="003A72B1"/>
    <w:rsid w:val="003A768A"/>
    <w:rsid w:val="003A7703"/>
    <w:rsid w:val="003A78B9"/>
    <w:rsid w:val="003A7C17"/>
    <w:rsid w:val="003A7D3F"/>
    <w:rsid w:val="003A7D52"/>
    <w:rsid w:val="003A7EA6"/>
    <w:rsid w:val="003B005E"/>
    <w:rsid w:val="003B0272"/>
    <w:rsid w:val="003B0BEF"/>
    <w:rsid w:val="003B15F8"/>
    <w:rsid w:val="003B175B"/>
    <w:rsid w:val="003B1C5F"/>
    <w:rsid w:val="003B2F98"/>
    <w:rsid w:val="003B308B"/>
    <w:rsid w:val="003B3C5E"/>
    <w:rsid w:val="003B4D45"/>
    <w:rsid w:val="003B52A8"/>
    <w:rsid w:val="003B59D4"/>
    <w:rsid w:val="003B5A9F"/>
    <w:rsid w:val="003B5DDD"/>
    <w:rsid w:val="003B5FF5"/>
    <w:rsid w:val="003B69D5"/>
    <w:rsid w:val="003B6FEB"/>
    <w:rsid w:val="003B7792"/>
    <w:rsid w:val="003B77D9"/>
    <w:rsid w:val="003B79BD"/>
    <w:rsid w:val="003C097D"/>
    <w:rsid w:val="003C0C97"/>
    <w:rsid w:val="003C0DD4"/>
    <w:rsid w:val="003C0E45"/>
    <w:rsid w:val="003C1936"/>
    <w:rsid w:val="003C2044"/>
    <w:rsid w:val="003C2264"/>
    <w:rsid w:val="003C2364"/>
    <w:rsid w:val="003C2CBB"/>
    <w:rsid w:val="003C33A9"/>
    <w:rsid w:val="003C3A76"/>
    <w:rsid w:val="003C3A93"/>
    <w:rsid w:val="003C4A65"/>
    <w:rsid w:val="003C4AA6"/>
    <w:rsid w:val="003C5A66"/>
    <w:rsid w:val="003C68F3"/>
    <w:rsid w:val="003C6E12"/>
    <w:rsid w:val="003C75D5"/>
    <w:rsid w:val="003C7EF1"/>
    <w:rsid w:val="003D0418"/>
    <w:rsid w:val="003D0619"/>
    <w:rsid w:val="003D0B6A"/>
    <w:rsid w:val="003D0B92"/>
    <w:rsid w:val="003D0EE7"/>
    <w:rsid w:val="003D1010"/>
    <w:rsid w:val="003D169C"/>
    <w:rsid w:val="003D187E"/>
    <w:rsid w:val="003D1F88"/>
    <w:rsid w:val="003D1FB1"/>
    <w:rsid w:val="003D1FB5"/>
    <w:rsid w:val="003D1FD3"/>
    <w:rsid w:val="003D24B5"/>
    <w:rsid w:val="003D24F4"/>
    <w:rsid w:val="003D2741"/>
    <w:rsid w:val="003D2D30"/>
    <w:rsid w:val="003D3D17"/>
    <w:rsid w:val="003D3E6A"/>
    <w:rsid w:val="003D51C0"/>
    <w:rsid w:val="003D5777"/>
    <w:rsid w:val="003D5AB1"/>
    <w:rsid w:val="003D5D57"/>
    <w:rsid w:val="003D5DF4"/>
    <w:rsid w:val="003D5F76"/>
    <w:rsid w:val="003D627F"/>
    <w:rsid w:val="003D66DF"/>
    <w:rsid w:val="003D6CBD"/>
    <w:rsid w:val="003D7D7C"/>
    <w:rsid w:val="003E1234"/>
    <w:rsid w:val="003E1AB1"/>
    <w:rsid w:val="003E1BF2"/>
    <w:rsid w:val="003E27A6"/>
    <w:rsid w:val="003E2AE0"/>
    <w:rsid w:val="003E333E"/>
    <w:rsid w:val="003E3360"/>
    <w:rsid w:val="003E3444"/>
    <w:rsid w:val="003E377E"/>
    <w:rsid w:val="003E4363"/>
    <w:rsid w:val="003E515F"/>
    <w:rsid w:val="003E57C1"/>
    <w:rsid w:val="003E59EB"/>
    <w:rsid w:val="003E680A"/>
    <w:rsid w:val="003E6924"/>
    <w:rsid w:val="003E6D18"/>
    <w:rsid w:val="003E7632"/>
    <w:rsid w:val="003E77FC"/>
    <w:rsid w:val="003E79DF"/>
    <w:rsid w:val="003E7FF0"/>
    <w:rsid w:val="003F0A6D"/>
    <w:rsid w:val="003F0DD8"/>
    <w:rsid w:val="003F0EA9"/>
    <w:rsid w:val="003F1163"/>
    <w:rsid w:val="003F1765"/>
    <w:rsid w:val="003F1932"/>
    <w:rsid w:val="003F1F1C"/>
    <w:rsid w:val="003F2400"/>
    <w:rsid w:val="003F270E"/>
    <w:rsid w:val="003F3F7A"/>
    <w:rsid w:val="003F475D"/>
    <w:rsid w:val="003F4959"/>
    <w:rsid w:val="003F5B28"/>
    <w:rsid w:val="003F68B0"/>
    <w:rsid w:val="003F6C9F"/>
    <w:rsid w:val="003F7AD7"/>
    <w:rsid w:val="00400129"/>
    <w:rsid w:val="004004AB"/>
    <w:rsid w:val="0040056A"/>
    <w:rsid w:val="004013D6"/>
    <w:rsid w:val="0040233B"/>
    <w:rsid w:val="00402800"/>
    <w:rsid w:val="00403219"/>
    <w:rsid w:val="004035B1"/>
    <w:rsid w:val="00403D2A"/>
    <w:rsid w:val="00403E40"/>
    <w:rsid w:val="00403F57"/>
    <w:rsid w:val="00405407"/>
    <w:rsid w:val="00405F2B"/>
    <w:rsid w:val="004063DF"/>
    <w:rsid w:val="00406429"/>
    <w:rsid w:val="004064C8"/>
    <w:rsid w:val="00406A09"/>
    <w:rsid w:val="00406DBD"/>
    <w:rsid w:val="00410309"/>
    <w:rsid w:val="00410AFB"/>
    <w:rsid w:val="004113A4"/>
    <w:rsid w:val="00411953"/>
    <w:rsid w:val="00411EBA"/>
    <w:rsid w:val="004124B9"/>
    <w:rsid w:val="004126D5"/>
    <w:rsid w:val="00412D18"/>
    <w:rsid w:val="00412D1C"/>
    <w:rsid w:val="00412E10"/>
    <w:rsid w:val="00413835"/>
    <w:rsid w:val="00413EA1"/>
    <w:rsid w:val="0041456C"/>
    <w:rsid w:val="0041462A"/>
    <w:rsid w:val="00415876"/>
    <w:rsid w:val="00415AEC"/>
    <w:rsid w:val="00415AEF"/>
    <w:rsid w:val="0041600A"/>
    <w:rsid w:val="00416BC1"/>
    <w:rsid w:val="00416E10"/>
    <w:rsid w:val="004170D0"/>
    <w:rsid w:val="0042037C"/>
    <w:rsid w:val="004219DE"/>
    <w:rsid w:val="0042210F"/>
    <w:rsid w:val="00422259"/>
    <w:rsid w:val="004228AC"/>
    <w:rsid w:val="004228CA"/>
    <w:rsid w:val="00422E5F"/>
    <w:rsid w:val="00423481"/>
    <w:rsid w:val="00423760"/>
    <w:rsid w:val="00423D43"/>
    <w:rsid w:val="00423F80"/>
    <w:rsid w:val="00424017"/>
    <w:rsid w:val="00424C37"/>
    <w:rsid w:val="00424FF8"/>
    <w:rsid w:val="0042648A"/>
    <w:rsid w:val="00426B91"/>
    <w:rsid w:val="00426CA3"/>
    <w:rsid w:val="00427826"/>
    <w:rsid w:val="00427FF3"/>
    <w:rsid w:val="0043032F"/>
    <w:rsid w:val="004307EE"/>
    <w:rsid w:val="00431C83"/>
    <w:rsid w:val="0043229E"/>
    <w:rsid w:val="00433B25"/>
    <w:rsid w:val="00433D6E"/>
    <w:rsid w:val="0043543A"/>
    <w:rsid w:val="00435A9E"/>
    <w:rsid w:val="00436DB7"/>
    <w:rsid w:val="00440007"/>
    <w:rsid w:val="0044057D"/>
    <w:rsid w:val="0044072B"/>
    <w:rsid w:val="00441436"/>
    <w:rsid w:val="004419E8"/>
    <w:rsid w:val="00441EE0"/>
    <w:rsid w:val="00442171"/>
    <w:rsid w:val="0044242F"/>
    <w:rsid w:val="0044244D"/>
    <w:rsid w:val="0044293F"/>
    <w:rsid w:val="00442C23"/>
    <w:rsid w:val="00443159"/>
    <w:rsid w:val="004439B9"/>
    <w:rsid w:val="00443D6E"/>
    <w:rsid w:val="00444A43"/>
    <w:rsid w:val="00444DA4"/>
    <w:rsid w:val="004452C9"/>
    <w:rsid w:val="00445BCB"/>
    <w:rsid w:val="00446538"/>
    <w:rsid w:val="004467D0"/>
    <w:rsid w:val="004470F2"/>
    <w:rsid w:val="00447190"/>
    <w:rsid w:val="004471D3"/>
    <w:rsid w:val="004478F5"/>
    <w:rsid w:val="00447DCA"/>
    <w:rsid w:val="00450DBE"/>
    <w:rsid w:val="00450ECA"/>
    <w:rsid w:val="004510B8"/>
    <w:rsid w:val="00451515"/>
    <w:rsid w:val="004515AC"/>
    <w:rsid w:val="0045172B"/>
    <w:rsid w:val="00451A59"/>
    <w:rsid w:val="00452102"/>
    <w:rsid w:val="00452BA0"/>
    <w:rsid w:val="00452F1A"/>
    <w:rsid w:val="0045313A"/>
    <w:rsid w:val="00453225"/>
    <w:rsid w:val="004533D0"/>
    <w:rsid w:val="004542DE"/>
    <w:rsid w:val="0045495D"/>
    <w:rsid w:val="00455171"/>
    <w:rsid w:val="00456643"/>
    <w:rsid w:val="0045688E"/>
    <w:rsid w:val="0045756E"/>
    <w:rsid w:val="0045779A"/>
    <w:rsid w:val="004577F1"/>
    <w:rsid w:val="00457EEE"/>
    <w:rsid w:val="00460189"/>
    <w:rsid w:val="004607BE"/>
    <w:rsid w:val="00460ECD"/>
    <w:rsid w:val="00460FE3"/>
    <w:rsid w:val="004611C8"/>
    <w:rsid w:val="004620E0"/>
    <w:rsid w:val="004622A3"/>
    <w:rsid w:val="004625B2"/>
    <w:rsid w:val="00462F07"/>
    <w:rsid w:val="004632B1"/>
    <w:rsid w:val="00463D03"/>
    <w:rsid w:val="00464F0F"/>
    <w:rsid w:val="004651D7"/>
    <w:rsid w:val="0046541C"/>
    <w:rsid w:val="00465DB7"/>
    <w:rsid w:val="00465E36"/>
    <w:rsid w:val="0046673B"/>
    <w:rsid w:val="00467584"/>
    <w:rsid w:val="00467C68"/>
    <w:rsid w:val="00467F38"/>
    <w:rsid w:val="004704F8"/>
    <w:rsid w:val="00470B4B"/>
    <w:rsid w:val="00470BD3"/>
    <w:rsid w:val="0047115D"/>
    <w:rsid w:val="004711C4"/>
    <w:rsid w:val="004719EA"/>
    <w:rsid w:val="00471EFB"/>
    <w:rsid w:val="0047212F"/>
    <w:rsid w:val="00472F1F"/>
    <w:rsid w:val="00473CC3"/>
    <w:rsid w:val="00474452"/>
    <w:rsid w:val="004745EC"/>
    <w:rsid w:val="00474B27"/>
    <w:rsid w:val="00474EBF"/>
    <w:rsid w:val="004752FE"/>
    <w:rsid w:val="004753DD"/>
    <w:rsid w:val="00475772"/>
    <w:rsid w:val="00475E73"/>
    <w:rsid w:val="004769DF"/>
    <w:rsid w:val="0047744D"/>
    <w:rsid w:val="004778E8"/>
    <w:rsid w:val="0047795F"/>
    <w:rsid w:val="00477C30"/>
    <w:rsid w:val="00477C9C"/>
    <w:rsid w:val="00477DEF"/>
    <w:rsid w:val="004804E4"/>
    <w:rsid w:val="0048205F"/>
    <w:rsid w:val="0048213E"/>
    <w:rsid w:val="004837CC"/>
    <w:rsid w:val="00484047"/>
    <w:rsid w:val="00484193"/>
    <w:rsid w:val="004847AA"/>
    <w:rsid w:val="00484BCC"/>
    <w:rsid w:val="0048518A"/>
    <w:rsid w:val="004852E9"/>
    <w:rsid w:val="00485AB7"/>
    <w:rsid w:val="00486091"/>
    <w:rsid w:val="00486FDA"/>
    <w:rsid w:val="00487755"/>
    <w:rsid w:val="00487B45"/>
    <w:rsid w:val="00487C33"/>
    <w:rsid w:val="00487DA9"/>
    <w:rsid w:val="00487F6C"/>
    <w:rsid w:val="00490533"/>
    <w:rsid w:val="00490A0D"/>
    <w:rsid w:val="00491A7C"/>
    <w:rsid w:val="00491DDC"/>
    <w:rsid w:val="00491F2F"/>
    <w:rsid w:val="004926EF"/>
    <w:rsid w:val="00492727"/>
    <w:rsid w:val="004927C6"/>
    <w:rsid w:val="004927F9"/>
    <w:rsid w:val="00492B66"/>
    <w:rsid w:val="00492C0A"/>
    <w:rsid w:val="00493130"/>
    <w:rsid w:val="00493618"/>
    <w:rsid w:val="00493949"/>
    <w:rsid w:val="00493A39"/>
    <w:rsid w:val="00494C76"/>
    <w:rsid w:val="00495197"/>
    <w:rsid w:val="0049557C"/>
    <w:rsid w:val="00495DC2"/>
    <w:rsid w:val="00496D04"/>
    <w:rsid w:val="00496F0B"/>
    <w:rsid w:val="00496F6A"/>
    <w:rsid w:val="00497E4A"/>
    <w:rsid w:val="004A0878"/>
    <w:rsid w:val="004A0950"/>
    <w:rsid w:val="004A0986"/>
    <w:rsid w:val="004A0B37"/>
    <w:rsid w:val="004A1255"/>
    <w:rsid w:val="004A1723"/>
    <w:rsid w:val="004A18F3"/>
    <w:rsid w:val="004A1DC1"/>
    <w:rsid w:val="004A3407"/>
    <w:rsid w:val="004A38FA"/>
    <w:rsid w:val="004A3A0C"/>
    <w:rsid w:val="004A5A54"/>
    <w:rsid w:val="004A5B52"/>
    <w:rsid w:val="004A5C48"/>
    <w:rsid w:val="004A619F"/>
    <w:rsid w:val="004A7858"/>
    <w:rsid w:val="004A7FA1"/>
    <w:rsid w:val="004B004F"/>
    <w:rsid w:val="004B03A4"/>
    <w:rsid w:val="004B0476"/>
    <w:rsid w:val="004B1779"/>
    <w:rsid w:val="004B19A8"/>
    <w:rsid w:val="004B1D09"/>
    <w:rsid w:val="004B217C"/>
    <w:rsid w:val="004B27E1"/>
    <w:rsid w:val="004B33FD"/>
    <w:rsid w:val="004B43A0"/>
    <w:rsid w:val="004B44B5"/>
    <w:rsid w:val="004B5A35"/>
    <w:rsid w:val="004B5FAF"/>
    <w:rsid w:val="004B6140"/>
    <w:rsid w:val="004B6348"/>
    <w:rsid w:val="004B6650"/>
    <w:rsid w:val="004B670C"/>
    <w:rsid w:val="004B705F"/>
    <w:rsid w:val="004B73F1"/>
    <w:rsid w:val="004B7F67"/>
    <w:rsid w:val="004C0595"/>
    <w:rsid w:val="004C07AC"/>
    <w:rsid w:val="004C14C8"/>
    <w:rsid w:val="004C1A26"/>
    <w:rsid w:val="004C2B88"/>
    <w:rsid w:val="004C2CC5"/>
    <w:rsid w:val="004C3217"/>
    <w:rsid w:val="004C3A28"/>
    <w:rsid w:val="004C3B6A"/>
    <w:rsid w:val="004C44B0"/>
    <w:rsid w:val="004C454B"/>
    <w:rsid w:val="004C47E2"/>
    <w:rsid w:val="004C5050"/>
    <w:rsid w:val="004C534B"/>
    <w:rsid w:val="004C5554"/>
    <w:rsid w:val="004C5697"/>
    <w:rsid w:val="004C5821"/>
    <w:rsid w:val="004C5E3C"/>
    <w:rsid w:val="004C5FDF"/>
    <w:rsid w:val="004C639A"/>
    <w:rsid w:val="004C66DB"/>
    <w:rsid w:val="004C69DD"/>
    <w:rsid w:val="004C6AF4"/>
    <w:rsid w:val="004C717C"/>
    <w:rsid w:val="004C72E0"/>
    <w:rsid w:val="004C78E9"/>
    <w:rsid w:val="004D091A"/>
    <w:rsid w:val="004D102E"/>
    <w:rsid w:val="004D1141"/>
    <w:rsid w:val="004D19D8"/>
    <w:rsid w:val="004D27AA"/>
    <w:rsid w:val="004D3119"/>
    <w:rsid w:val="004D36A9"/>
    <w:rsid w:val="004D3880"/>
    <w:rsid w:val="004D3C8C"/>
    <w:rsid w:val="004D43AB"/>
    <w:rsid w:val="004D48DE"/>
    <w:rsid w:val="004D5574"/>
    <w:rsid w:val="004D57FC"/>
    <w:rsid w:val="004D5E77"/>
    <w:rsid w:val="004D619D"/>
    <w:rsid w:val="004D656C"/>
    <w:rsid w:val="004D68CF"/>
    <w:rsid w:val="004D70CB"/>
    <w:rsid w:val="004D7584"/>
    <w:rsid w:val="004E003D"/>
    <w:rsid w:val="004E038F"/>
    <w:rsid w:val="004E0498"/>
    <w:rsid w:val="004E155A"/>
    <w:rsid w:val="004E19E6"/>
    <w:rsid w:val="004E28D8"/>
    <w:rsid w:val="004E2BCF"/>
    <w:rsid w:val="004E32A8"/>
    <w:rsid w:val="004E382C"/>
    <w:rsid w:val="004E40E4"/>
    <w:rsid w:val="004E4C58"/>
    <w:rsid w:val="004E4E8D"/>
    <w:rsid w:val="004E523E"/>
    <w:rsid w:val="004E53E0"/>
    <w:rsid w:val="004E543F"/>
    <w:rsid w:val="004E5B17"/>
    <w:rsid w:val="004E5D03"/>
    <w:rsid w:val="004E6B55"/>
    <w:rsid w:val="004E6C73"/>
    <w:rsid w:val="004E6EFF"/>
    <w:rsid w:val="004E7923"/>
    <w:rsid w:val="004E7C48"/>
    <w:rsid w:val="004F03E5"/>
    <w:rsid w:val="004F1775"/>
    <w:rsid w:val="004F22D1"/>
    <w:rsid w:val="004F2C82"/>
    <w:rsid w:val="004F2DEE"/>
    <w:rsid w:val="004F3301"/>
    <w:rsid w:val="004F4389"/>
    <w:rsid w:val="004F492A"/>
    <w:rsid w:val="004F53DB"/>
    <w:rsid w:val="004F598E"/>
    <w:rsid w:val="004F5FF1"/>
    <w:rsid w:val="004F6502"/>
    <w:rsid w:val="004F6D81"/>
    <w:rsid w:val="004F7B7D"/>
    <w:rsid w:val="004F7CE3"/>
    <w:rsid w:val="00502260"/>
    <w:rsid w:val="0050263E"/>
    <w:rsid w:val="0050285D"/>
    <w:rsid w:val="00504A70"/>
    <w:rsid w:val="00505579"/>
    <w:rsid w:val="00505B1A"/>
    <w:rsid w:val="00505BB9"/>
    <w:rsid w:val="00506AC1"/>
    <w:rsid w:val="00506B92"/>
    <w:rsid w:val="00507C82"/>
    <w:rsid w:val="005110E1"/>
    <w:rsid w:val="0051125B"/>
    <w:rsid w:val="0051342D"/>
    <w:rsid w:val="00513765"/>
    <w:rsid w:val="00513A93"/>
    <w:rsid w:val="00513C58"/>
    <w:rsid w:val="0051430A"/>
    <w:rsid w:val="00514824"/>
    <w:rsid w:val="0051494B"/>
    <w:rsid w:val="00514C22"/>
    <w:rsid w:val="005154BC"/>
    <w:rsid w:val="0051561E"/>
    <w:rsid w:val="00516117"/>
    <w:rsid w:val="00517352"/>
    <w:rsid w:val="005176EE"/>
    <w:rsid w:val="005179E7"/>
    <w:rsid w:val="00517A9D"/>
    <w:rsid w:val="00517D05"/>
    <w:rsid w:val="00520740"/>
    <w:rsid w:val="00520A47"/>
    <w:rsid w:val="00520B7C"/>
    <w:rsid w:val="00520EDB"/>
    <w:rsid w:val="005218F2"/>
    <w:rsid w:val="00521F41"/>
    <w:rsid w:val="005226F7"/>
    <w:rsid w:val="00522750"/>
    <w:rsid w:val="00522D70"/>
    <w:rsid w:val="00522DA8"/>
    <w:rsid w:val="00522E25"/>
    <w:rsid w:val="005231C1"/>
    <w:rsid w:val="005233BF"/>
    <w:rsid w:val="0052371A"/>
    <w:rsid w:val="0052389B"/>
    <w:rsid w:val="005238E1"/>
    <w:rsid w:val="00523A2D"/>
    <w:rsid w:val="00523A68"/>
    <w:rsid w:val="00523AA5"/>
    <w:rsid w:val="00523B1E"/>
    <w:rsid w:val="00523BAE"/>
    <w:rsid w:val="005243A4"/>
    <w:rsid w:val="005247C1"/>
    <w:rsid w:val="00524F5C"/>
    <w:rsid w:val="005252C5"/>
    <w:rsid w:val="005255B6"/>
    <w:rsid w:val="0052579C"/>
    <w:rsid w:val="00525F2F"/>
    <w:rsid w:val="00527200"/>
    <w:rsid w:val="00527909"/>
    <w:rsid w:val="00527D9D"/>
    <w:rsid w:val="00527EE6"/>
    <w:rsid w:val="005306B2"/>
    <w:rsid w:val="00530E56"/>
    <w:rsid w:val="005311B6"/>
    <w:rsid w:val="005311D9"/>
    <w:rsid w:val="00532496"/>
    <w:rsid w:val="00532A48"/>
    <w:rsid w:val="00532C15"/>
    <w:rsid w:val="00532E0A"/>
    <w:rsid w:val="005336AE"/>
    <w:rsid w:val="00533A05"/>
    <w:rsid w:val="00533B1B"/>
    <w:rsid w:val="00533DB9"/>
    <w:rsid w:val="00534AF4"/>
    <w:rsid w:val="00534C67"/>
    <w:rsid w:val="00537060"/>
    <w:rsid w:val="00540B8C"/>
    <w:rsid w:val="00540E2D"/>
    <w:rsid w:val="00540F20"/>
    <w:rsid w:val="005417D5"/>
    <w:rsid w:val="00541DE4"/>
    <w:rsid w:val="00541F2F"/>
    <w:rsid w:val="0054219C"/>
    <w:rsid w:val="005426F3"/>
    <w:rsid w:val="0054308F"/>
    <w:rsid w:val="00543754"/>
    <w:rsid w:val="00543961"/>
    <w:rsid w:val="00544076"/>
    <w:rsid w:val="00544193"/>
    <w:rsid w:val="0054436C"/>
    <w:rsid w:val="005450D2"/>
    <w:rsid w:val="0054513A"/>
    <w:rsid w:val="005453FF"/>
    <w:rsid w:val="00545404"/>
    <w:rsid w:val="005456B7"/>
    <w:rsid w:val="00545CAF"/>
    <w:rsid w:val="00545D22"/>
    <w:rsid w:val="00545E49"/>
    <w:rsid w:val="0054634E"/>
    <w:rsid w:val="00546836"/>
    <w:rsid w:val="005469B9"/>
    <w:rsid w:val="00546A67"/>
    <w:rsid w:val="00547EB0"/>
    <w:rsid w:val="005502A5"/>
    <w:rsid w:val="0055044F"/>
    <w:rsid w:val="00550A4A"/>
    <w:rsid w:val="00550CAC"/>
    <w:rsid w:val="00551261"/>
    <w:rsid w:val="005513CB"/>
    <w:rsid w:val="00551955"/>
    <w:rsid w:val="00551BE0"/>
    <w:rsid w:val="0055220F"/>
    <w:rsid w:val="00552791"/>
    <w:rsid w:val="00552CB0"/>
    <w:rsid w:val="005532C9"/>
    <w:rsid w:val="00553CD8"/>
    <w:rsid w:val="00554F6A"/>
    <w:rsid w:val="00556075"/>
    <w:rsid w:val="005562FD"/>
    <w:rsid w:val="00556427"/>
    <w:rsid w:val="005568FA"/>
    <w:rsid w:val="00556955"/>
    <w:rsid w:val="00556C21"/>
    <w:rsid w:val="00557773"/>
    <w:rsid w:val="00557931"/>
    <w:rsid w:val="00557B8C"/>
    <w:rsid w:val="00557F8A"/>
    <w:rsid w:val="005602E3"/>
    <w:rsid w:val="005604DB"/>
    <w:rsid w:val="00561134"/>
    <w:rsid w:val="00561E1A"/>
    <w:rsid w:val="005622A1"/>
    <w:rsid w:val="00562526"/>
    <w:rsid w:val="005632A2"/>
    <w:rsid w:val="00563C3F"/>
    <w:rsid w:val="0056412C"/>
    <w:rsid w:val="005646EA"/>
    <w:rsid w:val="00565507"/>
    <w:rsid w:val="00565B7B"/>
    <w:rsid w:val="00565E86"/>
    <w:rsid w:val="0056619B"/>
    <w:rsid w:val="00566B94"/>
    <w:rsid w:val="005675E1"/>
    <w:rsid w:val="0057164B"/>
    <w:rsid w:val="00572176"/>
    <w:rsid w:val="00573727"/>
    <w:rsid w:val="0057390D"/>
    <w:rsid w:val="00573C3A"/>
    <w:rsid w:val="00573DD7"/>
    <w:rsid w:val="00573E9E"/>
    <w:rsid w:val="005741FD"/>
    <w:rsid w:val="00574302"/>
    <w:rsid w:val="00574622"/>
    <w:rsid w:val="00574831"/>
    <w:rsid w:val="00574C1C"/>
    <w:rsid w:val="00574DE1"/>
    <w:rsid w:val="005754A7"/>
    <w:rsid w:val="0057581E"/>
    <w:rsid w:val="005759CC"/>
    <w:rsid w:val="00575AA0"/>
    <w:rsid w:val="005767E9"/>
    <w:rsid w:val="00576E35"/>
    <w:rsid w:val="005774EE"/>
    <w:rsid w:val="00577FA0"/>
    <w:rsid w:val="0058008C"/>
    <w:rsid w:val="005802ED"/>
    <w:rsid w:val="0058252B"/>
    <w:rsid w:val="00583DE5"/>
    <w:rsid w:val="0058438D"/>
    <w:rsid w:val="005843E1"/>
    <w:rsid w:val="00584473"/>
    <w:rsid w:val="00584E53"/>
    <w:rsid w:val="0058582A"/>
    <w:rsid w:val="00585D7D"/>
    <w:rsid w:val="00585F95"/>
    <w:rsid w:val="0058621B"/>
    <w:rsid w:val="0058687D"/>
    <w:rsid w:val="005868A6"/>
    <w:rsid w:val="00586C7A"/>
    <w:rsid w:val="0058788E"/>
    <w:rsid w:val="00587AA4"/>
    <w:rsid w:val="005907BA"/>
    <w:rsid w:val="005915B2"/>
    <w:rsid w:val="0059164C"/>
    <w:rsid w:val="005916EB"/>
    <w:rsid w:val="005925BD"/>
    <w:rsid w:val="00592761"/>
    <w:rsid w:val="00592B8B"/>
    <w:rsid w:val="00592FCD"/>
    <w:rsid w:val="00593342"/>
    <w:rsid w:val="00593BA4"/>
    <w:rsid w:val="00593C3B"/>
    <w:rsid w:val="00594488"/>
    <w:rsid w:val="0059472C"/>
    <w:rsid w:val="005949C9"/>
    <w:rsid w:val="005950AA"/>
    <w:rsid w:val="00595B07"/>
    <w:rsid w:val="00595B99"/>
    <w:rsid w:val="0059679C"/>
    <w:rsid w:val="005967AD"/>
    <w:rsid w:val="00596E18"/>
    <w:rsid w:val="00597095"/>
    <w:rsid w:val="005971C6"/>
    <w:rsid w:val="00597436"/>
    <w:rsid w:val="00597A83"/>
    <w:rsid w:val="00597B84"/>
    <w:rsid w:val="00597C2D"/>
    <w:rsid w:val="005A0710"/>
    <w:rsid w:val="005A07F5"/>
    <w:rsid w:val="005A08EE"/>
    <w:rsid w:val="005A0CF2"/>
    <w:rsid w:val="005A0DA5"/>
    <w:rsid w:val="005A159D"/>
    <w:rsid w:val="005A1980"/>
    <w:rsid w:val="005A22C8"/>
    <w:rsid w:val="005A2955"/>
    <w:rsid w:val="005A384D"/>
    <w:rsid w:val="005A3E88"/>
    <w:rsid w:val="005A4125"/>
    <w:rsid w:val="005A4275"/>
    <w:rsid w:val="005A4289"/>
    <w:rsid w:val="005A44F6"/>
    <w:rsid w:val="005A4D84"/>
    <w:rsid w:val="005A67F9"/>
    <w:rsid w:val="005A7BB7"/>
    <w:rsid w:val="005B07D9"/>
    <w:rsid w:val="005B1017"/>
    <w:rsid w:val="005B12BA"/>
    <w:rsid w:val="005B13A8"/>
    <w:rsid w:val="005B18CD"/>
    <w:rsid w:val="005B1A72"/>
    <w:rsid w:val="005B1BE8"/>
    <w:rsid w:val="005B245C"/>
    <w:rsid w:val="005B2BB0"/>
    <w:rsid w:val="005B325A"/>
    <w:rsid w:val="005B3C1D"/>
    <w:rsid w:val="005B4853"/>
    <w:rsid w:val="005B4D61"/>
    <w:rsid w:val="005B4EBE"/>
    <w:rsid w:val="005B538C"/>
    <w:rsid w:val="005B5482"/>
    <w:rsid w:val="005B5585"/>
    <w:rsid w:val="005B6113"/>
    <w:rsid w:val="005B63FE"/>
    <w:rsid w:val="005B7AB6"/>
    <w:rsid w:val="005C0135"/>
    <w:rsid w:val="005C06FC"/>
    <w:rsid w:val="005C0DE7"/>
    <w:rsid w:val="005C0FE4"/>
    <w:rsid w:val="005C2133"/>
    <w:rsid w:val="005C351A"/>
    <w:rsid w:val="005C3C16"/>
    <w:rsid w:val="005C3C8C"/>
    <w:rsid w:val="005C4962"/>
    <w:rsid w:val="005C5A38"/>
    <w:rsid w:val="005C6325"/>
    <w:rsid w:val="005C73A8"/>
    <w:rsid w:val="005C73B5"/>
    <w:rsid w:val="005C7409"/>
    <w:rsid w:val="005D029C"/>
    <w:rsid w:val="005D0982"/>
    <w:rsid w:val="005D12A4"/>
    <w:rsid w:val="005D13CF"/>
    <w:rsid w:val="005D145F"/>
    <w:rsid w:val="005D1759"/>
    <w:rsid w:val="005D261E"/>
    <w:rsid w:val="005D27B6"/>
    <w:rsid w:val="005D305E"/>
    <w:rsid w:val="005D3157"/>
    <w:rsid w:val="005D3498"/>
    <w:rsid w:val="005D3505"/>
    <w:rsid w:val="005D3B03"/>
    <w:rsid w:val="005D3C0E"/>
    <w:rsid w:val="005D3F4A"/>
    <w:rsid w:val="005D3FBB"/>
    <w:rsid w:val="005D4241"/>
    <w:rsid w:val="005D4426"/>
    <w:rsid w:val="005D495E"/>
    <w:rsid w:val="005D5198"/>
    <w:rsid w:val="005D59F1"/>
    <w:rsid w:val="005D5AF8"/>
    <w:rsid w:val="005D5C18"/>
    <w:rsid w:val="005D65E1"/>
    <w:rsid w:val="005D66EB"/>
    <w:rsid w:val="005D75D5"/>
    <w:rsid w:val="005D78EF"/>
    <w:rsid w:val="005D794A"/>
    <w:rsid w:val="005D7C3C"/>
    <w:rsid w:val="005D7F6A"/>
    <w:rsid w:val="005E1476"/>
    <w:rsid w:val="005E162A"/>
    <w:rsid w:val="005E1E3B"/>
    <w:rsid w:val="005E2233"/>
    <w:rsid w:val="005E2F88"/>
    <w:rsid w:val="005E37D0"/>
    <w:rsid w:val="005E4342"/>
    <w:rsid w:val="005E4C89"/>
    <w:rsid w:val="005E716F"/>
    <w:rsid w:val="005E7641"/>
    <w:rsid w:val="005E7FEA"/>
    <w:rsid w:val="005F0632"/>
    <w:rsid w:val="005F0D95"/>
    <w:rsid w:val="005F109C"/>
    <w:rsid w:val="005F15E8"/>
    <w:rsid w:val="005F1ABE"/>
    <w:rsid w:val="005F1C09"/>
    <w:rsid w:val="005F2023"/>
    <w:rsid w:val="005F2077"/>
    <w:rsid w:val="005F2A73"/>
    <w:rsid w:val="005F2FFF"/>
    <w:rsid w:val="005F4074"/>
    <w:rsid w:val="005F4151"/>
    <w:rsid w:val="005F4193"/>
    <w:rsid w:val="005F420C"/>
    <w:rsid w:val="005F4239"/>
    <w:rsid w:val="005F483C"/>
    <w:rsid w:val="005F4940"/>
    <w:rsid w:val="005F51CA"/>
    <w:rsid w:val="005F5B30"/>
    <w:rsid w:val="005F64E1"/>
    <w:rsid w:val="005F6B8E"/>
    <w:rsid w:val="005F6BDB"/>
    <w:rsid w:val="005F6DE5"/>
    <w:rsid w:val="005F7455"/>
    <w:rsid w:val="005F74C5"/>
    <w:rsid w:val="005F75CE"/>
    <w:rsid w:val="00600402"/>
    <w:rsid w:val="006007D6"/>
    <w:rsid w:val="006008E6"/>
    <w:rsid w:val="00600975"/>
    <w:rsid w:val="00600A5A"/>
    <w:rsid w:val="0060147B"/>
    <w:rsid w:val="0060172A"/>
    <w:rsid w:val="00601F7F"/>
    <w:rsid w:val="006024B6"/>
    <w:rsid w:val="006028A7"/>
    <w:rsid w:val="00602C4B"/>
    <w:rsid w:val="00603170"/>
    <w:rsid w:val="00603361"/>
    <w:rsid w:val="00603532"/>
    <w:rsid w:val="00603B26"/>
    <w:rsid w:val="00603BA2"/>
    <w:rsid w:val="00604243"/>
    <w:rsid w:val="00604483"/>
    <w:rsid w:val="006048A3"/>
    <w:rsid w:val="0060499E"/>
    <w:rsid w:val="00604D9A"/>
    <w:rsid w:val="00605FA8"/>
    <w:rsid w:val="00606EB3"/>
    <w:rsid w:val="00607150"/>
    <w:rsid w:val="00607968"/>
    <w:rsid w:val="006079F4"/>
    <w:rsid w:val="00607A0D"/>
    <w:rsid w:val="00611A9F"/>
    <w:rsid w:val="006121E2"/>
    <w:rsid w:val="00612449"/>
    <w:rsid w:val="0061292F"/>
    <w:rsid w:val="00612DE4"/>
    <w:rsid w:val="00612F41"/>
    <w:rsid w:val="00612FF7"/>
    <w:rsid w:val="006133FB"/>
    <w:rsid w:val="00614759"/>
    <w:rsid w:val="0061496E"/>
    <w:rsid w:val="00614B43"/>
    <w:rsid w:val="00614B78"/>
    <w:rsid w:val="00614F6F"/>
    <w:rsid w:val="006155B9"/>
    <w:rsid w:val="00616277"/>
    <w:rsid w:val="006164CC"/>
    <w:rsid w:val="00616864"/>
    <w:rsid w:val="006175E4"/>
    <w:rsid w:val="006179AB"/>
    <w:rsid w:val="00620B6E"/>
    <w:rsid w:val="00620F7A"/>
    <w:rsid w:val="00621371"/>
    <w:rsid w:val="00621B4D"/>
    <w:rsid w:val="006228FD"/>
    <w:rsid w:val="00622AFF"/>
    <w:rsid w:val="006237A4"/>
    <w:rsid w:val="0062384B"/>
    <w:rsid w:val="006238D8"/>
    <w:rsid w:val="00624FF7"/>
    <w:rsid w:val="006258C3"/>
    <w:rsid w:val="0062699F"/>
    <w:rsid w:val="00626E2C"/>
    <w:rsid w:val="006273B2"/>
    <w:rsid w:val="00627765"/>
    <w:rsid w:val="00630AA8"/>
    <w:rsid w:val="00630E9D"/>
    <w:rsid w:val="006310CE"/>
    <w:rsid w:val="0063124B"/>
    <w:rsid w:val="00631837"/>
    <w:rsid w:val="00632412"/>
    <w:rsid w:val="00632541"/>
    <w:rsid w:val="00632CA1"/>
    <w:rsid w:val="0063444B"/>
    <w:rsid w:val="006354AA"/>
    <w:rsid w:val="00635A28"/>
    <w:rsid w:val="00635FA8"/>
    <w:rsid w:val="006365D4"/>
    <w:rsid w:val="00637662"/>
    <w:rsid w:val="00637DCA"/>
    <w:rsid w:val="00637FB7"/>
    <w:rsid w:val="00640C49"/>
    <w:rsid w:val="00640D80"/>
    <w:rsid w:val="00641B4E"/>
    <w:rsid w:val="00642270"/>
    <w:rsid w:val="006438D1"/>
    <w:rsid w:val="00644009"/>
    <w:rsid w:val="0064401E"/>
    <w:rsid w:val="006441F3"/>
    <w:rsid w:val="00644705"/>
    <w:rsid w:val="00645B6E"/>
    <w:rsid w:val="00645D15"/>
    <w:rsid w:val="00645E1F"/>
    <w:rsid w:val="00646966"/>
    <w:rsid w:val="006469E2"/>
    <w:rsid w:val="00647096"/>
    <w:rsid w:val="0064731F"/>
    <w:rsid w:val="006507E5"/>
    <w:rsid w:val="00651C8F"/>
    <w:rsid w:val="00652286"/>
    <w:rsid w:val="00653024"/>
    <w:rsid w:val="0065348C"/>
    <w:rsid w:val="006538A1"/>
    <w:rsid w:val="00654218"/>
    <w:rsid w:val="00654B28"/>
    <w:rsid w:val="00654B42"/>
    <w:rsid w:val="00655445"/>
    <w:rsid w:val="00655624"/>
    <w:rsid w:val="00655EFB"/>
    <w:rsid w:val="0065634C"/>
    <w:rsid w:val="00656853"/>
    <w:rsid w:val="006570A5"/>
    <w:rsid w:val="006570B5"/>
    <w:rsid w:val="006574BD"/>
    <w:rsid w:val="00657DB6"/>
    <w:rsid w:val="0066068C"/>
    <w:rsid w:val="0066162D"/>
    <w:rsid w:val="00661729"/>
    <w:rsid w:val="0066195A"/>
    <w:rsid w:val="006634F8"/>
    <w:rsid w:val="0066442C"/>
    <w:rsid w:val="00664768"/>
    <w:rsid w:val="00664B04"/>
    <w:rsid w:val="006652F1"/>
    <w:rsid w:val="00665338"/>
    <w:rsid w:val="00665DEB"/>
    <w:rsid w:val="00665E5A"/>
    <w:rsid w:val="00665E63"/>
    <w:rsid w:val="0066651C"/>
    <w:rsid w:val="00666538"/>
    <w:rsid w:val="00666980"/>
    <w:rsid w:val="00667A49"/>
    <w:rsid w:val="00670498"/>
    <w:rsid w:val="006727CF"/>
    <w:rsid w:val="006728E8"/>
    <w:rsid w:val="00673656"/>
    <w:rsid w:val="00673B9E"/>
    <w:rsid w:val="00673D9F"/>
    <w:rsid w:val="00673E38"/>
    <w:rsid w:val="00674C9E"/>
    <w:rsid w:val="00674E02"/>
    <w:rsid w:val="00674FDC"/>
    <w:rsid w:val="006753CE"/>
    <w:rsid w:val="00675879"/>
    <w:rsid w:val="00675972"/>
    <w:rsid w:val="00675B5C"/>
    <w:rsid w:val="00675EF4"/>
    <w:rsid w:val="00676D68"/>
    <w:rsid w:val="00676DAB"/>
    <w:rsid w:val="0067785D"/>
    <w:rsid w:val="00677B51"/>
    <w:rsid w:val="0068025A"/>
    <w:rsid w:val="006805C6"/>
    <w:rsid w:val="006806AF"/>
    <w:rsid w:val="0068074D"/>
    <w:rsid w:val="0068088E"/>
    <w:rsid w:val="00680A1A"/>
    <w:rsid w:val="00680DA5"/>
    <w:rsid w:val="00681448"/>
    <w:rsid w:val="00682A51"/>
    <w:rsid w:val="00683151"/>
    <w:rsid w:val="0068344D"/>
    <w:rsid w:val="00683C28"/>
    <w:rsid w:val="00684021"/>
    <w:rsid w:val="006840D3"/>
    <w:rsid w:val="0068508D"/>
    <w:rsid w:val="006851E7"/>
    <w:rsid w:val="00685579"/>
    <w:rsid w:val="00685C0C"/>
    <w:rsid w:val="00685D66"/>
    <w:rsid w:val="00686144"/>
    <w:rsid w:val="006877D5"/>
    <w:rsid w:val="00687820"/>
    <w:rsid w:val="00687949"/>
    <w:rsid w:val="00687EA9"/>
    <w:rsid w:val="00690B32"/>
    <w:rsid w:val="00690B9E"/>
    <w:rsid w:val="00690FA9"/>
    <w:rsid w:val="006911A2"/>
    <w:rsid w:val="00691F9C"/>
    <w:rsid w:val="00692EDB"/>
    <w:rsid w:val="00692F0F"/>
    <w:rsid w:val="00692F95"/>
    <w:rsid w:val="00693EE2"/>
    <w:rsid w:val="006942CC"/>
    <w:rsid w:val="006949B6"/>
    <w:rsid w:val="00694F92"/>
    <w:rsid w:val="0069553A"/>
    <w:rsid w:val="0069554F"/>
    <w:rsid w:val="00695EA3"/>
    <w:rsid w:val="006961CE"/>
    <w:rsid w:val="00696863"/>
    <w:rsid w:val="00696A14"/>
    <w:rsid w:val="00697CBD"/>
    <w:rsid w:val="00697E22"/>
    <w:rsid w:val="006A0561"/>
    <w:rsid w:val="006A1039"/>
    <w:rsid w:val="006A104E"/>
    <w:rsid w:val="006A1F51"/>
    <w:rsid w:val="006A3266"/>
    <w:rsid w:val="006A4003"/>
    <w:rsid w:val="006A5270"/>
    <w:rsid w:val="006A553C"/>
    <w:rsid w:val="006A5B4D"/>
    <w:rsid w:val="006A60E6"/>
    <w:rsid w:val="006A66F8"/>
    <w:rsid w:val="006A6830"/>
    <w:rsid w:val="006A6F66"/>
    <w:rsid w:val="006A7033"/>
    <w:rsid w:val="006A71B1"/>
    <w:rsid w:val="006A7640"/>
    <w:rsid w:val="006A7695"/>
    <w:rsid w:val="006A799B"/>
    <w:rsid w:val="006A7BDC"/>
    <w:rsid w:val="006A7EFD"/>
    <w:rsid w:val="006B08DE"/>
    <w:rsid w:val="006B0F57"/>
    <w:rsid w:val="006B135E"/>
    <w:rsid w:val="006B187D"/>
    <w:rsid w:val="006B2EA2"/>
    <w:rsid w:val="006B37AC"/>
    <w:rsid w:val="006B3E09"/>
    <w:rsid w:val="006B50FB"/>
    <w:rsid w:val="006B53A8"/>
    <w:rsid w:val="006B56A1"/>
    <w:rsid w:val="006B5810"/>
    <w:rsid w:val="006B5B67"/>
    <w:rsid w:val="006B60F2"/>
    <w:rsid w:val="006B644C"/>
    <w:rsid w:val="006B6776"/>
    <w:rsid w:val="006B67AC"/>
    <w:rsid w:val="006B6C14"/>
    <w:rsid w:val="006B6DA9"/>
    <w:rsid w:val="006B75AA"/>
    <w:rsid w:val="006B7A49"/>
    <w:rsid w:val="006B7B1B"/>
    <w:rsid w:val="006C034C"/>
    <w:rsid w:val="006C0540"/>
    <w:rsid w:val="006C0DC2"/>
    <w:rsid w:val="006C0FC1"/>
    <w:rsid w:val="006C1685"/>
    <w:rsid w:val="006C1B80"/>
    <w:rsid w:val="006C1EB7"/>
    <w:rsid w:val="006C241B"/>
    <w:rsid w:val="006C253A"/>
    <w:rsid w:val="006C253D"/>
    <w:rsid w:val="006C260B"/>
    <w:rsid w:val="006C27DE"/>
    <w:rsid w:val="006C29E8"/>
    <w:rsid w:val="006C2AF2"/>
    <w:rsid w:val="006C2D1E"/>
    <w:rsid w:val="006C32AD"/>
    <w:rsid w:val="006C33F7"/>
    <w:rsid w:val="006C389B"/>
    <w:rsid w:val="006C3A64"/>
    <w:rsid w:val="006C42DF"/>
    <w:rsid w:val="006C46CD"/>
    <w:rsid w:val="006C46F5"/>
    <w:rsid w:val="006C4B70"/>
    <w:rsid w:val="006C52C0"/>
    <w:rsid w:val="006C5649"/>
    <w:rsid w:val="006C5A06"/>
    <w:rsid w:val="006C5C8B"/>
    <w:rsid w:val="006C5DAD"/>
    <w:rsid w:val="006C68F2"/>
    <w:rsid w:val="006C6CC1"/>
    <w:rsid w:val="006C749D"/>
    <w:rsid w:val="006C79A9"/>
    <w:rsid w:val="006D0B67"/>
    <w:rsid w:val="006D115A"/>
    <w:rsid w:val="006D1779"/>
    <w:rsid w:val="006D32A7"/>
    <w:rsid w:val="006D3EAB"/>
    <w:rsid w:val="006D5799"/>
    <w:rsid w:val="006D5DFB"/>
    <w:rsid w:val="006D611D"/>
    <w:rsid w:val="006D65B6"/>
    <w:rsid w:val="006D6658"/>
    <w:rsid w:val="006D6E65"/>
    <w:rsid w:val="006D6F1F"/>
    <w:rsid w:val="006D769C"/>
    <w:rsid w:val="006D783A"/>
    <w:rsid w:val="006D7BB0"/>
    <w:rsid w:val="006E045D"/>
    <w:rsid w:val="006E0D24"/>
    <w:rsid w:val="006E147B"/>
    <w:rsid w:val="006E1645"/>
    <w:rsid w:val="006E1D34"/>
    <w:rsid w:val="006E30A1"/>
    <w:rsid w:val="006E31B7"/>
    <w:rsid w:val="006E38AE"/>
    <w:rsid w:val="006E3B68"/>
    <w:rsid w:val="006E3D86"/>
    <w:rsid w:val="006E4014"/>
    <w:rsid w:val="006E43D0"/>
    <w:rsid w:val="006E509A"/>
    <w:rsid w:val="006E510F"/>
    <w:rsid w:val="006E5DD7"/>
    <w:rsid w:val="006E6811"/>
    <w:rsid w:val="006E685D"/>
    <w:rsid w:val="006E6D7F"/>
    <w:rsid w:val="006E72C9"/>
    <w:rsid w:val="006E73E6"/>
    <w:rsid w:val="006E7BD7"/>
    <w:rsid w:val="006E7FD0"/>
    <w:rsid w:val="006F03CD"/>
    <w:rsid w:val="006F05BA"/>
    <w:rsid w:val="006F0CBA"/>
    <w:rsid w:val="006F1F1F"/>
    <w:rsid w:val="006F1FA8"/>
    <w:rsid w:val="006F233C"/>
    <w:rsid w:val="006F362F"/>
    <w:rsid w:val="006F4B50"/>
    <w:rsid w:val="006F4E95"/>
    <w:rsid w:val="006F4EAE"/>
    <w:rsid w:val="006F506F"/>
    <w:rsid w:val="006F5AA5"/>
    <w:rsid w:val="006F5ECF"/>
    <w:rsid w:val="006F6362"/>
    <w:rsid w:val="006F7156"/>
    <w:rsid w:val="007001F9"/>
    <w:rsid w:val="0070021D"/>
    <w:rsid w:val="00701343"/>
    <w:rsid w:val="00701B99"/>
    <w:rsid w:val="00702F6F"/>
    <w:rsid w:val="00703110"/>
    <w:rsid w:val="007031BE"/>
    <w:rsid w:val="007037F9"/>
    <w:rsid w:val="00703CC3"/>
    <w:rsid w:val="00704384"/>
    <w:rsid w:val="007045F9"/>
    <w:rsid w:val="00705243"/>
    <w:rsid w:val="00706364"/>
    <w:rsid w:val="007065FD"/>
    <w:rsid w:val="00706C62"/>
    <w:rsid w:val="007073AD"/>
    <w:rsid w:val="007076C1"/>
    <w:rsid w:val="007079EC"/>
    <w:rsid w:val="00710F85"/>
    <w:rsid w:val="00712130"/>
    <w:rsid w:val="0071255B"/>
    <w:rsid w:val="00712E04"/>
    <w:rsid w:val="00713EB6"/>
    <w:rsid w:val="007143A0"/>
    <w:rsid w:val="0071461D"/>
    <w:rsid w:val="00714F10"/>
    <w:rsid w:val="00714FFE"/>
    <w:rsid w:val="007151FF"/>
    <w:rsid w:val="0071547E"/>
    <w:rsid w:val="00715769"/>
    <w:rsid w:val="00715C0E"/>
    <w:rsid w:val="00715DF7"/>
    <w:rsid w:val="00715EF2"/>
    <w:rsid w:val="007166CB"/>
    <w:rsid w:val="00717924"/>
    <w:rsid w:val="00720915"/>
    <w:rsid w:val="00720939"/>
    <w:rsid w:val="00720A99"/>
    <w:rsid w:val="00721523"/>
    <w:rsid w:val="007217D5"/>
    <w:rsid w:val="007219C2"/>
    <w:rsid w:val="0072209A"/>
    <w:rsid w:val="00722A33"/>
    <w:rsid w:val="00723BC8"/>
    <w:rsid w:val="0072538D"/>
    <w:rsid w:val="00725711"/>
    <w:rsid w:val="007261C5"/>
    <w:rsid w:val="007262A6"/>
    <w:rsid w:val="0072653B"/>
    <w:rsid w:val="007276E3"/>
    <w:rsid w:val="00730DD6"/>
    <w:rsid w:val="007313EC"/>
    <w:rsid w:val="00732069"/>
    <w:rsid w:val="00733FC6"/>
    <w:rsid w:val="0073457E"/>
    <w:rsid w:val="00734FC3"/>
    <w:rsid w:val="007359B1"/>
    <w:rsid w:val="007361D7"/>
    <w:rsid w:val="007363BA"/>
    <w:rsid w:val="00737BF4"/>
    <w:rsid w:val="00737E11"/>
    <w:rsid w:val="00737F73"/>
    <w:rsid w:val="007402A5"/>
    <w:rsid w:val="00740B96"/>
    <w:rsid w:val="00742679"/>
    <w:rsid w:val="00742D0D"/>
    <w:rsid w:val="00742DAC"/>
    <w:rsid w:val="00742E2A"/>
    <w:rsid w:val="00742F2E"/>
    <w:rsid w:val="007439FD"/>
    <w:rsid w:val="007445B3"/>
    <w:rsid w:val="007448CE"/>
    <w:rsid w:val="00745269"/>
    <w:rsid w:val="007452E4"/>
    <w:rsid w:val="00745535"/>
    <w:rsid w:val="007463C7"/>
    <w:rsid w:val="0074649B"/>
    <w:rsid w:val="00746CEF"/>
    <w:rsid w:val="00746F2B"/>
    <w:rsid w:val="007473DB"/>
    <w:rsid w:val="007474A4"/>
    <w:rsid w:val="007527C1"/>
    <w:rsid w:val="00752DC6"/>
    <w:rsid w:val="007539E3"/>
    <w:rsid w:val="00755D6C"/>
    <w:rsid w:val="00755F55"/>
    <w:rsid w:val="0075696E"/>
    <w:rsid w:val="007606CE"/>
    <w:rsid w:val="0076108A"/>
    <w:rsid w:val="00761778"/>
    <w:rsid w:val="00761BF9"/>
    <w:rsid w:val="00761C62"/>
    <w:rsid w:val="00761FAA"/>
    <w:rsid w:val="00762829"/>
    <w:rsid w:val="00762832"/>
    <w:rsid w:val="0076284C"/>
    <w:rsid w:val="00762BF7"/>
    <w:rsid w:val="00762F36"/>
    <w:rsid w:val="0076320C"/>
    <w:rsid w:val="00763A5A"/>
    <w:rsid w:val="007647B7"/>
    <w:rsid w:val="0076507A"/>
    <w:rsid w:val="0076542A"/>
    <w:rsid w:val="007657AD"/>
    <w:rsid w:val="00766F71"/>
    <w:rsid w:val="00767073"/>
    <w:rsid w:val="00767C55"/>
    <w:rsid w:val="0077013B"/>
    <w:rsid w:val="00771126"/>
    <w:rsid w:val="00771A6B"/>
    <w:rsid w:val="00771DAF"/>
    <w:rsid w:val="00772240"/>
    <w:rsid w:val="007727CB"/>
    <w:rsid w:val="0077280C"/>
    <w:rsid w:val="007748D5"/>
    <w:rsid w:val="00774BD2"/>
    <w:rsid w:val="007758E2"/>
    <w:rsid w:val="007760A8"/>
    <w:rsid w:val="00776495"/>
    <w:rsid w:val="00776A56"/>
    <w:rsid w:val="00780806"/>
    <w:rsid w:val="00780A0C"/>
    <w:rsid w:val="00780ADC"/>
    <w:rsid w:val="00781AD3"/>
    <w:rsid w:val="007826B5"/>
    <w:rsid w:val="00783528"/>
    <w:rsid w:val="00783827"/>
    <w:rsid w:val="0078388F"/>
    <w:rsid w:val="00783D48"/>
    <w:rsid w:val="00783D96"/>
    <w:rsid w:val="00784F34"/>
    <w:rsid w:val="007855EE"/>
    <w:rsid w:val="00785892"/>
    <w:rsid w:val="00785AB3"/>
    <w:rsid w:val="00785B09"/>
    <w:rsid w:val="00785CB8"/>
    <w:rsid w:val="0078665F"/>
    <w:rsid w:val="00786805"/>
    <w:rsid w:val="007878FD"/>
    <w:rsid w:val="00787F19"/>
    <w:rsid w:val="00787F63"/>
    <w:rsid w:val="00791ACC"/>
    <w:rsid w:val="00791F75"/>
    <w:rsid w:val="007927DE"/>
    <w:rsid w:val="00792E89"/>
    <w:rsid w:val="00793363"/>
    <w:rsid w:val="007934BF"/>
    <w:rsid w:val="00793B85"/>
    <w:rsid w:val="00793DFE"/>
    <w:rsid w:val="00793F7F"/>
    <w:rsid w:val="00793FC8"/>
    <w:rsid w:val="00793FE4"/>
    <w:rsid w:val="0079432D"/>
    <w:rsid w:val="00794384"/>
    <w:rsid w:val="007951E7"/>
    <w:rsid w:val="0079560D"/>
    <w:rsid w:val="00795EEE"/>
    <w:rsid w:val="00796457"/>
    <w:rsid w:val="00796D8E"/>
    <w:rsid w:val="00796ECF"/>
    <w:rsid w:val="00797019"/>
    <w:rsid w:val="007A004A"/>
    <w:rsid w:val="007A0A3E"/>
    <w:rsid w:val="007A15AE"/>
    <w:rsid w:val="007A1A42"/>
    <w:rsid w:val="007A2968"/>
    <w:rsid w:val="007A3009"/>
    <w:rsid w:val="007A30DC"/>
    <w:rsid w:val="007A35CC"/>
    <w:rsid w:val="007A3FDD"/>
    <w:rsid w:val="007A47FA"/>
    <w:rsid w:val="007A4D31"/>
    <w:rsid w:val="007A4F08"/>
    <w:rsid w:val="007A5342"/>
    <w:rsid w:val="007A5B24"/>
    <w:rsid w:val="007A7161"/>
    <w:rsid w:val="007A7A21"/>
    <w:rsid w:val="007A7DF4"/>
    <w:rsid w:val="007B0292"/>
    <w:rsid w:val="007B05A9"/>
    <w:rsid w:val="007B0694"/>
    <w:rsid w:val="007B0FFA"/>
    <w:rsid w:val="007B383A"/>
    <w:rsid w:val="007B39D2"/>
    <w:rsid w:val="007B3D6A"/>
    <w:rsid w:val="007B4744"/>
    <w:rsid w:val="007B4CE4"/>
    <w:rsid w:val="007B556D"/>
    <w:rsid w:val="007B5768"/>
    <w:rsid w:val="007B5B8C"/>
    <w:rsid w:val="007B6AED"/>
    <w:rsid w:val="007B781C"/>
    <w:rsid w:val="007C01FB"/>
    <w:rsid w:val="007C1538"/>
    <w:rsid w:val="007C18BB"/>
    <w:rsid w:val="007C1B74"/>
    <w:rsid w:val="007C3108"/>
    <w:rsid w:val="007C3131"/>
    <w:rsid w:val="007C372B"/>
    <w:rsid w:val="007C3785"/>
    <w:rsid w:val="007C39ED"/>
    <w:rsid w:val="007C3B4C"/>
    <w:rsid w:val="007C4F36"/>
    <w:rsid w:val="007C54C7"/>
    <w:rsid w:val="007C58FB"/>
    <w:rsid w:val="007C6AC5"/>
    <w:rsid w:val="007C6AFC"/>
    <w:rsid w:val="007C6F8B"/>
    <w:rsid w:val="007D00E5"/>
    <w:rsid w:val="007D0BDF"/>
    <w:rsid w:val="007D15A6"/>
    <w:rsid w:val="007D1618"/>
    <w:rsid w:val="007D16CE"/>
    <w:rsid w:val="007D3026"/>
    <w:rsid w:val="007D31DD"/>
    <w:rsid w:val="007D31FD"/>
    <w:rsid w:val="007D350B"/>
    <w:rsid w:val="007D36C1"/>
    <w:rsid w:val="007D3895"/>
    <w:rsid w:val="007D3D22"/>
    <w:rsid w:val="007D471A"/>
    <w:rsid w:val="007D480F"/>
    <w:rsid w:val="007D4BC3"/>
    <w:rsid w:val="007D4EDB"/>
    <w:rsid w:val="007D503D"/>
    <w:rsid w:val="007D652C"/>
    <w:rsid w:val="007D6C57"/>
    <w:rsid w:val="007D6D0F"/>
    <w:rsid w:val="007D6E2F"/>
    <w:rsid w:val="007E0048"/>
    <w:rsid w:val="007E085D"/>
    <w:rsid w:val="007E0B29"/>
    <w:rsid w:val="007E0B5B"/>
    <w:rsid w:val="007E10D6"/>
    <w:rsid w:val="007E1331"/>
    <w:rsid w:val="007E143B"/>
    <w:rsid w:val="007E1462"/>
    <w:rsid w:val="007E1ABF"/>
    <w:rsid w:val="007E1B0A"/>
    <w:rsid w:val="007E1D11"/>
    <w:rsid w:val="007E3465"/>
    <w:rsid w:val="007E35F5"/>
    <w:rsid w:val="007E371B"/>
    <w:rsid w:val="007E3B83"/>
    <w:rsid w:val="007E4C92"/>
    <w:rsid w:val="007E4E4E"/>
    <w:rsid w:val="007E50DA"/>
    <w:rsid w:val="007E5450"/>
    <w:rsid w:val="007E58DC"/>
    <w:rsid w:val="007E7056"/>
    <w:rsid w:val="007E752F"/>
    <w:rsid w:val="007E799B"/>
    <w:rsid w:val="007F0A39"/>
    <w:rsid w:val="007F14ED"/>
    <w:rsid w:val="007F163E"/>
    <w:rsid w:val="007F1D08"/>
    <w:rsid w:val="007F1D25"/>
    <w:rsid w:val="007F255B"/>
    <w:rsid w:val="007F26F9"/>
    <w:rsid w:val="007F35DE"/>
    <w:rsid w:val="007F5975"/>
    <w:rsid w:val="007F634E"/>
    <w:rsid w:val="007F767F"/>
    <w:rsid w:val="007F773E"/>
    <w:rsid w:val="007F7C7D"/>
    <w:rsid w:val="0080086B"/>
    <w:rsid w:val="008009ED"/>
    <w:rsid w:val="00800B44"/>
    <w:rsid w:val="008012B5"/>
    <w:rsid w:val="0080136D"/>
    <w:rsid w:val="00801724"/>
    <w:rsid w:val="00801ABD"/>
    <w:rsid w:val="0080295B"/>
    <w:rsid w:val="00802C8D"/>
    <w:rsid w:val="00804166"/>
    <w:rsid w:val="00804814"/>
    <w:rsid w:val="00804E56"/>
    <w:rsid w:val="0080556F"/>
    <w:rsid w:val="00805A0B"/>
    <w:rsid w:val="00806375"/>
    <w:rsid w:val="00806856"/>
    <w:rsid w:val="00806F4C"/>
    <w:rsid w:val="008073BF"/>
    <w:rsid w:val="00807702"/>
    <w:rsid w:val="00807A9B"/>
    <w:rsid w:val="00810125"/>
    <w:rsid w:val="0081120F"/>
    <w:rsid w:val="00811882"/>
    <w:rsid w:val="008123BA"/>
    <w:rsid w:val="00812425"/>
    <w:rsid w:val="0081427E"/>
    <w:rsid w:val="0081467F"/>
    <w:rsid w:val="00814CD2"/>
    <w:rsid w:val="00815108"/>
    <w:rsid w:val="008159C6"/>
    <w:rsid w:val="00815D6A"/>
    <w:rsid w:val="008160D6"/>
    <w:rsid w:val="00816485"/>
    <w:rsid w:val="00816492"/>
    <w:rsid w:val="008166C0"/>
    <w:rsid w:val="008167D3"/>
    <w:rsid w:val="008167E4"/>
    <w:rsid w:val="008168FC"/>
    <w:rsid w:val="00816E9D"/>
    <w:rsid w:val="00817620"/>
    <w:rsid w:val="00820841"/>
    <w:rsid w:val="00820DF1"/>
    <w:rsid w:val="00821079"/>
    <w:rsid w:val="00821B2F"/>
    <w:rsid w:val="0082214B"/>
    <w:rsid w:val="0082274C"/>
    <w:rsid w:val="00822D5D"/>
    <w:rsid w:val="008237F1"/>
    <w:rsid w:val="00823A7E"/>
    <w:rsid w:val="00824044"/>
    <w:rsid w:val="00824461"/>
    <w:rsid w:val="008244A1"/>
    <w:rsid w:val="00824717"/>
    <w:rsid w:val="00824A0A"/>
    <w:rsid w:val="00825257"/>
    <w:rsid w:val="008255B1"/>
    <w:rsid w:val="008255C4"/>
    <w:rsid w:val="008265DF"/>
    <w:rsid w:val="0082660B"/>
    <w:rsid w:val="008271EE"/>
    <w:rsid w:val="00827A40"/>
    <w:rsid w:val="00827BB4"/>
    <w:rsid w:val="00827C84"/>
    <w:rsid w:val="00827FA8"/>
    <w:rsid w:val="00830569"/>
    <w:rsid w:val="00830689"/>
    <w:rsid w:val="008309BA"/>
    <w:rsid w:val="00830B8E"/>
    <w:rsid w:val="0083164E"/>
    <w:rsid w:val="00831A9C"/>
    <w:rsid w:val="00831C10"/>
    <w:rsid w:val="00831D1F"/>
    <w:rsid w:val="00832121"/>
    <w:rsid w:val="008322B1"/>
    <w:rsid w:val="008326A5"/>
    <w:rsid w:val="0083273B"/>
    <w:rsid w:val="008327FE"/>
    <w:rsid w:val="00833323"/>
    <w:rsid w:val="00833605"/>
    <w:rsid w:val="00833617"/>
    <w:rsid w:val="0083413F"/>
    <w:rsid w:val="00835396"/>
    <w:rsid w:val="00835414"/>
    <w:rsid w:val="00835A53"/>
    <w:rsid w:val="00835ED9"/>
    <w:rsid w:val="00836DB8"/>
    <w:rsid w:val="00837AB3"/>
    <w:rsid w:val="00837F1C"/>
    <w:rsid w:val="00837F21"/>
    <w:rsid w:val="008403F3"/>
    <w:rsid w:val="00840624"/>
    <w:rsid w:val="008409CA"/>
    <w:rsid w:val="00840B0D"/>
    <w:rsid w:val="00840CE0"/>
    <w:rsid w:val="008418C3"/>
    <w:rsid w:val="00841CB5"/>
    <w:rsid w:val="008422CB"/>
    <w:rsid w:val="00842397"/>
    <w:rsid w:val="00842AB4"/>
    <w:rsid w:val="00843B37"/>
    <w:rsid w:val="00843BB9"/>
    <w:rsid w:val="00843D2A"/>
    <w:rsid w:val="00843E9B"/>
    <w:rsid w:val="008441D0"/>
    <w:rsid w:val="00845AB7"/>
    <w:rsid w:val="00846076"/>
    <w:rsid w:val="00846EAE"/>
    <w:rsid w:val="00846F54"/>
    <w:rsid w:val="008475AF"/>
    <w:rsid w:val="00847A9D"/>
    <w:rsid w:val="00847B9E"/>
    <w:rsid w:val="00847E26"/>
    <w:rsid w:val="008500FC"/>
    <w:rsid w:val="00850128"/>
    <w:rsid w:val="008502EF"/>
    <w:rsid w:val="0085106B"/>
    <w:rsid w:val="008512CD"/>
    <w:rsid w:val="008512D7"/>
    <w:rsid w:val="0085149F"/>
    <w:rsid w:val="00851F65"/>
    <w:rsid w:val="00851F66"/>
    <w:rsid w:val="0085205E"/>
    <w:rsid w:val="0085210E"/>
    <w:rsid w:val="0085235A"/>
    <w:rsid w:val="00852551"/>
    <w:rsid w:val="00852719"/>
    <w:rsid w:val="00852804"/>
    <w:rsid w:val="00852AE6"/>
    <w:rsid w:val="00852B1D"/>
    <w:rsid w:val="00852E5A"/>
    <w:rsid w:val="008530F7"/>
    <w:rsid w:val="008537D5"/>
    <w:rsid w:val="00853F50"/>
    <w:rsid w:val="00853FA2"/>
    <w:rsid w:val="00853FD2"/>
    <w:rsid w:val="00854204"/>
    <w:rsid w:val="0085454E"/>
    <w:rsid w:val="00854A8C"/>
    <w:rsid w:val="0085513C"/>
    <w:rsid w:val="00855149"/>
    <w:rsid w:val="00855194"/>
    <w:rsid w:val="008557A7"/>
    <w:rsid w:val="00855948"/>
    <w:rsid w:val="00855AA6"/>
    <w:rsid w:val="00857FEC"/>
    <w:rsid w:val="00860731"/>
    <w:rsid w:val="00860C81"/>
    <w:rsid w:val="00860D11"/>
    <w:rsid w:val="0086106D"/>
    <w:rsid w:val="008610EB"/>
    <w:rsid w:val="0086143A"/>
    <w:rsid w:val="00861987"/>
    <w:rsid w:val="0086218A"/>
    <w:rsid w:val="008625FD"/>
    <w:rsid w:val="00862F19"/>
    <w:rsid w:val="00862FAC"/>
    <w:rsid w:val="00863635"/>
    <w:rsid w:val="0086378F"/>
    <w:rsid w:val="00863834"/>
    <w:rsid w:val="00863AF8"/>
    <w:rsid w:val="00863CF1"/>
    <w:rsid w:val="008642FC"/>
    <w:rsid w:val="00865437"/>
    <w:rsid w:val="00866058"/>
    <w:rsid w:val="008663B1"/>
    <w:rsid w:val="00866606"/>
    <w:rsid w:val="00866A49"/>
    <w:rsid w:val="0086775E"/>
    <w:rsid w:val="0086781D"/>
    <w:rsid w:val="00867D8D"/>
    <w:rsid w:val="008703AA"/>
    <w:rsid w:val="008703FE"/>
    <w:rsid w:val="00870A90"/>
    <w:rsid w:val="00870B6B"/>
    <w:rsid w:val="008710C5"/>
    <w:rsid w:val="00871138"/>
    <w:rsid w:val="00871435"/>
    <w:rsid w:val="008725D3"/>
    <w:rsid w:val="00872B51"/>
    <w:rsid w:val="00872B75"/>
    <w:rsid w:val="00873048"/>
    <w:rsid w:val="00873AB9"/>
    <w:rsid w:val="00873C1A"/>
    <w:rsid w:val="00874781"/>
    <w:rsid w:val="008748D4"/>
    <w:rsid w:val="00874C35"/>
    <w:rsid w:val="0087539F"/>
    <w:rsid w:val="008754FA"/>
    <w:rsid w:val="008757E8"/>
    <w:rsid w:val="00875D84"/>
    <w:rsid w:val="00876A2A"/>
    <w:rsid w:val="00877A78"/>
    <w:rsid w:val="008802FE"/>
    <w:rsid w:val="008803C4"/>
    <w:rsid w:val="0088110D"/>
    <w:rsid w:val="008811D1"/>
    <w:rsid w:val="00881667"/>
    <w:rsid w:val="00882226"/>
    <w:rsid w:val="008827CF"/>
    <w:rsid w:val="00882B06"/>
    <w:rsid w:val="00882C42"/>
    <w:rsid w:val="0088367D"/>
    <w:rsid w:val="008837A5"/>
    <w:rsid w:val="00883BEB"/>
    <w:rsid w:val="00883F3B"/>
    <w:rsid w:val="00884B30"/>
    <w:rsid w:val="0088526E"/>
    <w:rsid w:val="0088528E"/>
    <w:rsid w:val="008855B0"/>
    <w:rsid w:val="0088569B"/>
    <w:rsid w:val="00886128"/>
    <w:rsid w:val="008862C1"/>
    <w:rsid w:val="00887C01"/>
    <w:rsid w:val="0089044C"/>
    <w:rsid w:val="00890B27"/>
    <w:rsid w:val="00890B4C"/>
    <w:rsid w:val="00891083"/>
    <w:rsid w:val="008916EE"/>
    <w:rsid w:val="0089183B"/>
    <w:rsid w:val="00891ABE"/>
    <w:rsid w:val="00891FCC"/>
    <w:rsid w:val="0089216E"/>
    <w:rsid w:val="00892E6F"/>
    <w:rsid w:val="00892F96"/>
    <w:rsid w:val="00893BD2"/>
    <w:rsid w:val="00894266"/>
    <w:rsid w:val="00894413"/>
    <w:rsid w:val="0089473D"/>
    <w:rsid w:val="008949AA"/>
    <w:rsid w:val="0089511B"/>
    <w:rsid w:val="008958B3"/>
    <w:rsid w:val="00895E92"/>
    <w:rsid w:val="0089601E"/>
    <w:rsid w:val="008964A6"/>
    <w:rsid w:val="008968D6"/>
    <w:rsid w:val="00896F25"/>
    <w:rsid w:val="0089782B"/>
    <w:rsid w:val="00897930"/>
    <w:rsid w:val="008A0983"/>
    <w:rsid w:val="008A0B27"/>
    <w:rsid w:val="008A1AFC"/>
    <w:rsid w:val="008A1B8B"/>
    <w:rsid w:val="008A2AAA"/>
    <w:rsid w:val="008A38BD"/>
    <w:rsid w:val="008A3B0C"/>
    <w:rsid w:val="008A4E85"/>
    <w:rsid w:val="008A4EA6"/>
    <w:rsid w:val="008A5558"/>
    <w:rsid w:val="008A5CC0"/>
    <w:rsid w:val="008A6A0B"/>
    <w:rsid w:val="008A784C"/>
    <w:rsid w:val="008A7B18"/>
    <w:rsid w:val="008B061D"/>
    <w:rsid w:val="008B06CE"/>
    <w:rsid w:val="008B0A96"/>
    <w:rsid w:val="008B25E7"/>
    <w:rsid w:val="008B2CCC"/>
    <w:rsid w:val="008B2D00"/>
    <w:rsid w:val="008B3C06"/>
    <w:rsid w:val="008B3D47"/>
    <w:rsid w:val="008B4478"/>
    <w:rsid w:val="008B4FB2"/>
    <w:rsid w:val="008B50C7"/>
    <w:rsid w:val="008B5F14"/>
    <w:rsid w:val="008B5F89"/>
    <w:rsid w:val="008B73D1"/>
    <w:rsid w:val="008B73ED"/>
    <w:rsid w:val="008B7C3E"/>
    <w:rsid w:val="008C01C0"/>
    <w:rsid w:val="008C154C"/>
    <w:rsid w:val="008C16A1"/>
    <w:rsid w:val="008C1B10"/>
    <w:rsid w:val="008C2653"/>
    <w:rsid w:val="008C3688"/>
    <w:rsid w:val="008C3BBA"/>
    <w:rsid w:val="008C3C86"/>
    <w:rsid w:val="008C42D9"/>
    <w:rsid w:val="008C6387"/>
    <w:rsid w:val="008C6B03"/>
    <w:rsid w:val="008C6FA3"/>
    <w:rsid w:val="008C761C"/>
    <w:rsid w:val="008C7635"/>
    <w:rsid w:val="008C7E41"/>
    <w:rsid w:val="008D00AB"/>
    <w:rsid w:val="008D03C6"/>
    <w:rsid w:val="008D0B50"/>
    <w:rsid w:val="008D1CC6"/>
    <w:rsid w:val="008D2242"/>
    <w:rsid w:val="008D2BBB"/>
    <w:rsid w:val="008D2E57"/>
    <w:rsid w:val="008D2F56"/>
    <w:rsid w:val="008D305D"/>
    <w:rsid w:val="008D333B"/>
    <w:rsid w:val="008D34EB"/>
    <w:rsid w:val="008D36AB"/>
    <w:rsid w:val="008D3EF2"/>
    <w:rsid w:val="008D3F72"/>
    <w:rsid w:val="008D4253"/>
    <w:rsid w:val="008D4FE6"/>
    <w:rsid w:val="008D51B3"/>
    <w:rsid w:val="008D5494"/>
    <w:rsid w:val="008D591A"/>
    <w:rsid w:val="008D624B"/>
    <w:rsid w:val="008D6308"/>
    <w:rsid w:val="008D6A3C"/>
    <w:rsid w:val="008D6C4A"/>
    <w:rsid w:val="008D6CC2"/>
    <w:rsid w:val="008E0303"/>
    <w:rsid w:val="008E0B2C"/>
    <w:rsid w:val="008E1BB2"/>
    <w:rsid w:val="008E21F5"/>
    <w:rsid w:val="008E2884"/>
    <w:rsid w:val="008E2B61"/>
    <w:rsid w:val="008E2CD3"/>
    <w:rsid w:val="008E3111"/>
    <w:rsid w:val="008E36E6"/>
    <w:rsid w:val="008E3E0F"/>
    <w:rsid w:val="008E3FE2"/>
    <w:rsid w:val="008E44EB"/>
    <w:rsid w:val="008E5537"/>
    <w:rsid w:val="008E5BA5"/>
    <w:rsid w:val="008E6129"/>
    <w:rsid w:val="008E6253"/>
    <w:rsid w:val="008E6C01"/>
    <w:rsid w:val="008E7D55"/>
    <w:rsid w:val="008F08A3"/>
    <w:rsid w:val="008F0EA7"/>
    <w:rsid w:val="008F13DA"/>
    <w:rsid w:val="008F1EFA"/>
    <w:rsid w:val="008F204C"/>
    <w:rsid w:val="008F273D"/>
    <w:rsid w:val="008F28D9"/>
    <w:rsid w:val="008F3287"/>
    <w:rsid w:val="008F33D1"/>
    <w:rsid w:val="008F4337"/>
    <w:rsid w:val="008F470A"/>
    <w:rsid w:val="008F48FB"/>
    <w:rsid w:val="008F499D"/>
    <w:rsid w:val="008F4BD7"/>
    <w:rsid w:val="008F4D30"/>
    <w:rsid w:val="008F4F20"/>
    <w:rsid w:val="008F5924"/>
    <w:rsid w:val="008F6143"/>
    <w:rsid w:val="008F673D"/>
    <w:rsid w:val="008F676F"/>
    <w:rsid w:val="008F6B4C"/>
    <w:rsid w:val="008F6BD1"/>
    <w:rsid w:val="008F6D8A"/>
    <w:rsid w:val="008F6FD5"/>
    <w:rsid w:val="008F7071"/>
    <w:rsid w:val="008F7721"/>
    <w:rsid w:val="009000F7"/>
    <w:rsid w:val="00900B6B"/>
    <w:rsid w:val="00900CDC"/>
    <w:rsid w:val="009018AF"/>
    <w:rsid w:val="00901A46"/>
    <w:rsid w:val="00902872"/>
    <w:rsid w:val="00902D0A"/>
    <w:rsid w:val="0090337C"/>
    <w:rsid w:val="009046A4"/>
    <w:rsid w:val="009050B4"/>
    <w:rsid w:val="00905844"/>
    <w:rsid w:val="00905B5B"/>
    <w:rsid w:val="009067DF"/>
    <w:rsid w:val="00906A9C"/>
    <w:rsid w:val="009071C6"/>
    <w:rsid w:val="00910365"/>
    <w:rsid w:val="009103A0"/>
    <w:rsid w:val="00910544"/>
    <w:rsid w:val="00910C13"/>
    <w:rsid w:val="00910E58"/>
    <w:rsid w:val="0091130D"/>
    <w:rsid w:val="00912F18"/>
    <w:rsid w:val="009130CA"/>
    <w:rsid w:val="0091321B"/>
    <w:rsid w:val="00914AA0"/>
    <w:rsid w:val="00914D66"/>
    <w:rsid w:val="009154F8"/>
    <w:rsid w:val="00915EEA"/>
    <w:rsid w:val="009178A8"/>
    <w:rsid w:val="00917CC8"/>
    <w:rsid w:val="00917E11"/>
    <w:rsid w:val="00920373"/>
    <w:rsid w:val="009209C3"/>
    <w:rsid w:val="009211E7"/>
    <w:rsid w:val="009213B5"/>
    <w:rsid w:val="00921B58"/>
    <w:rsid w:val="0092384D"/>
    <w:rsid w:val="00923B9E"/>
    <w:rsid w:val="00923CFE"/>
    <w:rsid w:val="00924914"/>
    <w:rsid w:val="00924C1A"/>
    <w:rsid w:val="00924DB8"/>
    <w:rsid w:val="009266F2"/>
    <w:rsid w:val="00926700"/>
    <w:rsid w:val="00926955"/>
    <w:rsid w:val="00926CC0"/>
    <w:rsid w:val="00926E8D"/>
    <w:rsid w:val="00927469"/>
    <w:rsid w:val="00930D19"/>
    <w:rsid w:val="00930F7D"/>
    <w:rsid w:val="00930FA6"/>
    <w:rsid w:val="00930FB3"/>
    <w:rsid w:val="0093185A"/>
    <w:rsid w:val="00931EC1"/>
    <w:rsid w:val="0093249B"/>
    <w:rsid w:val="00932861"/>
    <w:rsid w:val="00933503"/>
    <w:rsid w:val="009336BA"/>
    <w:rsid w:val="00933B8B"/>
    <w:rsid w:val="009343B7"/>
    <w:rsid w:val="00934426"/>
    <w:rsid w:val="009344A6"/>
    <w:rsid w:val="00934D5E"/>
    <w:rsid w:val="00934E13"/>
    <w:rsid w:val="00935056"/>
    <w:rsid w:val="00935381"/>
    <w:rsid w:val="00935AB3"/>
    <w:rsid w:val="00936D76"/>
    <w:rsid w:val="009373E9"/>
    <w:rsid w:val="00937955"/>
    <w:rsid w:val="0093799F"/>
    <w:rsid w:val="00937D92"/>
    <w:rsid w:val="00937E20"/>
    <w:rsid w:val="009419F8"/>
    <w:rsid w:val="00941C36"/>
    <w:rsid w:val="00943079"/>
    <w:rsid w:val="00943242"/>
    <w:rsid w:val="00943585"/>
    <w:rsid w:val="0094365E"/>
    <w:rsid w:val="00943C72"/>
    <w:rsid w:val="0094431F"/>
    <w:rsid w:val="00944C64"/>
    <w:rsid w:val="00944D0B"/>
    <w:rsid w:val="00945054"/>
    <w:rsid w:val="00945350"/>
    <w:rsid w:val="00945A80"/>
    <w:rsid w:val="00946DEE"/>
    <w:rsid w:val="00947C30"/>
    <w:rsid w:val="00950453"/>
    <w:rsid w:val="009514DC"/>
    <w:rsid w:val="009523B4"/>
    <w:rsid w:val="0095270D"/>
    <w:rsid w:val="00952D64"/>
    <w:rsid w:val="00954104"/>
    <w:rsid w:val="00954813"/>
    <w:rsid w:val="00954D47"/>
    <w:rsid w:val="00954DAF"/>
    <w:rsid w:val="009551D1"/>
    <w:rsid w:val="00955395"/>
    <w:rsid w:val="009560AC"/>
    <w:rsid w:val="00956482"/>
    <w:rsid w:val="00956659"/>
    <w:rsid w:val="00956855"/>
    <w:rsid w:val="0095756D"/>
    <w:rsid w:val="00957F11"/>
    <w:rsid w:val="009601CA"/>
    <w:rsid w:val="009602FF"/>
    <w:rsid w:val="0096047F"/>
    <w:rsid w:val="009606A9"/>
    <w:rsid w:val="00960C24"/>
    <w:rsid w:val="00960C8A"/>
    <w:rsid w:val="009614B0"/>
    <w:rsid w:val="0096150D"/>
    <w:rsid w:val="00961790"/>
    <w:rsid w:val="009619D9"/>
    <w:rsid w:val="00961BA2"/>
    <w:rsid w:val="00961DC0"/>
    <w:rsid w:val="00961E2F"/>
    <w:rsid w:val="009621EE"/>
    <w:rsid w:val="00962473"/>
    <w:rsid w:val="009639E4"/>
    <w:rsid w:val="00963EB9"/>
    <w:rsid w:val="00964035"/>
    <w:rsid w:val="00964289"/>
    <w:rsid w:val="0096490B"/>
    <w:rsid w:val="00964E6E"/>
    <w:rsid w:val="0096538E"/>
    <w:rsid w:val="00965A66"/>
    <w:rsid w:val="00965AF0"/>
    <w:rsid w:val="00966118"/>
    <w:rsid w:val="00966586"/>
    <w:rsid w:val="009668A0"/>
    <w:rsid w:val="00966B1A"/>
    <w:rsid w:val="00966BEE"/>
    <w:rsid w:val="00967119"/>
    <w:rsid w:val="009678C4"/>
    <w:rsid w:val="00967D24"/>
    <w:rsid w:val="00970EB2"/>
    <w:rsid w:val="009719BD"/>
    <w:rsid w:val="00971A91"/>
    <w:rsid w:val="00971BF0"/>
    <w:rsid w:val="0097307B"/>
    <w:rsid w:val="0097382B"/>
    <w:rsid w:val="0097383D"/>
    <w:rsid w:val="00974226"/>
    <w:rsid w:val="009745D6"/>
    <w:rsid w:val="009748E0"/>
    <w:rsid w:val="00974FD8"/>
    <w:rsid w:val="00975069"/>
    <w:rsid w:val="009756F2"/>
    <w:rsid w:val="009759E2"/>
    <w:rsid w:val="00975D28"/>
    <w:rsid w:val="009774A4"/>
    <w:rsid w:val="009806AF"/>
    <w:rsid w:val="00980874"/>
    <w:rsid w:val="00980E74"/>
    <w:rsid w:val="009817FC"/>
    <w:rsid w:val="00982252"/>
    <w:rsid w:val="00982B6B"/>
    <w:rsid w:val="00982C2A"/>
    <w:rsid w:val="00983387"/>
    <w:rsid w:val="00983ABC"/>
    <w:rsid w:val="009844D3"/>
    <w:rsid w:val="009849A3"/>
    <w:rsid w:val="00984E3E"/>
    <w:rsid w:val="009856EE"/>
    <w:rsid w:val="0098645E"/>
    <w:rsid w:val="00986856"/>
    <w:rsid w:val="00986C8A"/>
    <w:rsid w:val="00986D30"/>
    <w:rsid w:val="00986D4F"/>
    <w:rsid w:val="009874D2"/>
    <w:rsid w:val="00987A2C"/>
    <w:rsid w:val="00990166"/>
    <w:rsid w:val="0099062A"/>
    <w:rsid w:val="00990820"/>
    <w:rsid w:val="00991046"/>
    <w:rsid w:val="009912CB"/>
    <w:rsid w:val="0099136E"/>
    <w:rsid w:val="00991EEA"/>
    <w:rsid w:val="00992267"/>
    <w:rsid w:val="009922FE"/>
    <w:rsid w:val="0099240B"/>
    <w:rsid w:val="0099277C"/>
    <w:rsid w:val="009927EE"/>
    <w:rsid w:val="0099290C"/>
    <w:rsid w:val="00992FBB"/>
    <w:rsid w:val="00992FDC"/>
    <w:rsid w:val="009934C5"/>
    <w:rsid w:val="00993509"/>
    <w:rsid w:val="00993E53"/>
    <w:rsid w:val="00994241"/>
    <w:rsid w:val="00994499"/>
    <w:rsid w:val="009948E1"/>
    <w:rsid w:val="009957C7"/>
    <w:rsid w:val="009959DD"/>
    <w:rsid w:val="00995B2D"/>
    <w:rsid w:val="00995B97"/>
    <w:rsid w:val="00995BD7"/>
    <w:rsid w:val="00995CEB"/>
    <w:rsid w:val="00996516"/>
    <w:rsid w:val="00996B66"/>
    <w:rsid w:val="0099739D"/>
    <w:rsid w:val="00997DF5"/>
    <w:rsid w:val="009A0156"/>
    <w:rsid w:val="009A0495"/>
    <w:rsid w:val="009A17E7"/>
    <w:rsid w:val="009A24B9"/>
    <w:rsid w:val="009A33AD"/>
    <w:rsid w:val="009A496A"/>
    <w:rsid w:val="009A4C22"/>
    <w:rsid w:val="009A4E5F"/>
    <w:rsid w:val="009A59F5"/>
    <w:rsid w:val="009A5EDC"/>
    <w:rsid w:val="009A6097"/>
    <w:rsid w:val="009A6B97"/>
    <w:rsid w:val="009A7313"/>
    <w:rsid w:val="009B2247"/>
    <w:rsid w:val="009B24E0"/>
    <w:rsid w:val="009B26B7"/>
    <w:rsid w:val="009B2D34"/>
    <w:rsid w:val="009B31EF"/>
    <w:rsid w:val="009B39B4"/>
    <w:rsid w:val="009B3B88"/>
    <w:rsid w:val="009B43D1"/>
    <w:rsid w:val="009B5979"/>
    <w:rsid w:val="009B5E1D"/>
    <w:rsid w:val="009B64F2"/>
    <w:rsid w:val="009B6608"/>
    <w:rsid w:val="009B6DA1"/>
    <w:rsid w:val="009B6DEC"/>
    <w:rsid w:val="009B6E64"/>
    <w:rsid w:val="009B6F82"/>
    <w:rsid w:val="009B7031"/>
    <w:rsid w:val="009B7060"/>
    <w:rsid w:val="009B7113"/>
    <w:rsid w:val="009B7255"/>
    <w:rsid w:val="009B74C2"/>
    <w:rsid w:val="009B768F"/>
    <w:rsid w:val="009B7DA4"/>
    <w:rsid w:val="009B7F38"/>
    <w:rsid w:val="009C046F"/>
    <w:rsid w:val="009C0656"/>
    <w:rsid w:val="009C191E"/>
    <w:rsid w:val="009C22D0"/>
    <w:rsid w:val="009C3D1A"/>
    <w:rsid w:val="009C47DD"/>
    <w:rsid w:val="009C4F1C"/>
    <w:rsid w:val="009C5637"/>
    <w:rsid w:val="009C59CE"/>
    <w:rsid w:val="009C64E3"/>
    <w:rsid w:val="009C65B0"/>
    <w:rsid w:val="009C6748"/>
    <w:rsid w:val="009C78AE"/>
    <w:rsid w:val="009C79DF"/>
    <w:rsid w:val="009C7BD2"/>
    <w:rsid w:val="009C7D50"/>
    <w:rsid w:val="009D03F3"/>
    <w:rsid w:val="009D11B5"/>
    <w:rsid w:val="009D1300"/>
    <w:rsid w:val="009D1363"/>
    <w:rsid w:val="009D1F9A"/>
    <w:rsid w:val="009D2101"/>
    <w:rsid w:val="009D30A9"/>
    <w:rsid w:val="009D3193"/>
    <w:rsid w:val="009D3235"/>
    <w:rsid w:val="009D3473"/>
    <w:rsid w:val="009D34C4"/>
    <w:rsid w:val="009D391E"/>
    <w:rsid w:val="009D3B6F"/>
    <w:rsid w:val="009D3BA4"/>
    <w:rsid w:val="009D3EC7"/>
    <w:rsid w:val="009D3FE0"/>
    <w:rsid w:val="009D4A9D"/>
    <w:rsid w:val="009D4D92"/>
    <w:rsid w:val="009D5355"/>
    <w:rsid w:val="009D60F2"/>
    <w:rsid w:val="009D6A1C"/>
    <w:rsid w:val="009D6D3E"/>
    <w:rsid w:val="009D6E9D"/>
    <w:rsid w:val="009D7DC0"/>
    <w:rsid w:val="009E055F"/>
    <w:rsid w:val="009E0792"/>
    <w:rsid w:val="009E20AC"/>
    <w:rsid w:val="009E29EC"/>
    <w:rsid w:val="009E354D"/>
    <w:rsid w:val="009E4077"/>
    <w:rsid w:val="009E468A"/>
    <w:rsid w:val="009E5DBD"/>
    <w:rsid w:val="009E623A"/>
    <w:rsid w:val="009E62D3"/>
    <w:rsid w:val="009E6B01"/>
    <w:rsid w:val="009E6F0E"/>
    <w:rsid w:val="009F0233"/>
    <w:rsid w:val="009F0566"/>
    <w:rsid w:val="009F0A7D"/>
    <w:rsid w:val="009F0AE1"/>
    <w:rsid w:val="009F0F48"/>
    <w:rsid w:val="009F18E5"/>
    <w:rsid w:val="009F1A4D"/>
    <w:rsid w:val="009F1BE5"/>
    <w:rsid w:val="009F1D12"/>
    <w:rsid w:val="009F1E6B"/>
    <w:rsid w:val="009F21B7"/>
    <w:rsid w:val="009F27AD"/>
    <w:rsid w:val="009F2893"/>
    <w:rsid w:val="009F425B"/>
    <w:rsid w:val="009F5135"/>
    <w:rsid w:val="009F529A"/>
    <w:rsid w:val="009F5C67"/>
    <w:rsid w:val="009F60A1"/>
    <w:rsid w:val="009F611A"/>
    <w:rsid w:val="009F6216"/>
    <w:rsid w:val="009F6D30"/>
    <w:rsid w:val="009F7374"/>
    <w:rsid w:val="009F76A6"/>
    <w:rsid w:val="00A0089E"/>
    <w:rsid w:val="00A00DC6"/>
    <w:rsid w:val="00A0141E"/>
    <w:rsid w:val="00A01702"/>
    <w:rsid w:val="00A0193B"/>
    <w:rsid w:val="00A020BC"/>
    <w:rsid w:val="00A0229E"/>
    <w:rsid w:val="00A022AC"/>
    <w:rsid w:val="00A0369E"/>
    <w:rsid w:val="00A04006"/>
    <w:rsid w:val="00A05F50"/>
    <w:rsid w:val="00A06136"/>
    <w:rsid w:val="00A07041"/>
    <w:rsid w:val="00A07428"/>
    <w:rsid w:val="00A07856"/>
    <w:rsid w:val="00A1039E"/>
    <w:rsid w:val="00A10E1B"/>
    <w:rsid w:val="00A1110E"/>
    <w:rsid w:val="00A11F95"/>
    <w:rsid w:val="00A120E4"/>
    <w:rsid w:val="00A129CA"/>
    <w:rsid w:val="00A12C8E"/>
    <w:rsid w:val="00A12E17"/>
    <w:rsid w:val="00A13830"/>
    <w:rsid w:val="00A13DD9"/>
    <w:rsid w:val="00A149F9"/>
    <w:rsid w:val="00A1525D"/>
    <w:rsid w:val="00A1539D"/>
    <w:rsid w:val="00A153AA"/>
    <w:rsid w:val="00A15B92"/>
    <w:rsid w:val="00A160F0"/>
    <w:rsid w:val="00A1639B"/>
    <w:rsid w:val="00A166A1"/>
    <w:rsid w:val="00A16F5A"/>
    <w:rsid w:val="00A20691"/>
    <w:rsid w:val="00A209E3"/>
    <w:rsid w:val="00A20CD4"/>
    <w:rsid w:val="00A2161B"/>
    <w:rsid w:val="00A21B6D"/>
    <w:rsid w:val="00A223C9"/>
    <w:rsid w:val="00A228B4"/>
    <w:rsid w:val="00A232A8"/>
    <w:rsid w:val="00A23909"/>
    <w:rsid w:val="00A23C99"/>
    <w:rsid w:val="00A2429C"/>
    <w:rsid w:val="00A245A9"/>
    <w:rsid w:val="00A2479C"/>
    <w:rsid w:val="00A2486B"/>
    <w:rsid w:val="00A25629"/>
    <w:rsid w:val="00A2575E"/>
    <w:rsid w:val="00A2580B"/>
    <w:rsid w:val="00A2588A"/>
    <w:rsid w:val="00A25AFE"/>
    <w:rsid w:val="00A25E20"/>
    <w:rsid w:val="00A26242"/>
    <w:rsid w:val="00A26EA3"/>
    <w:rsid w:val="00A278D6"/>
    <w:rsid w:val="00A27A24"/>
    <w:rsid w:val="00A27F7A"/>
    <w:rsid w:val="00A30209"/>
    <w:rsid w:val="00A306D9"/>
    <w:rsid w:val="00A309BE"/>
    <w:rsid w:val="00A3118C"/>
    <w:rsid w:val="00A31236"/>
    <w:rsid w:val="00A32BA8"/>
    <w:rsid w:val="00A336CE"/>
    <w:rsid w:val="00A33CAB"/>
    <w:rsid w:val="00A344BA"/>
    <w:rsid w:val="00A3464B"/>
    <w:rsid w:val="00A34CB2"/>
    <w:rsid w:val="00A3521C"/>
    <w:rsid w:val="00A359BB"/>
    <w:rsid w:val="00A35FC0"/>
    <w:rsid w:val="00A360D8"/>
    <w:rsid w:val="00A366A4"/>
    <w:rsid w:val="00A36FAA"/>
    <w:rsid w:val="00A375EA"/>
    <w:rsid w:val="00A37E11"/>
    <w:rsid w:val="00A40186"/>
    <w:rsid w:val="00A402BB"/>
    <w:rsid w:val="00A404C0"/>
    <w:rsid w:val="00A4065E"/>
    <w:rsid w:val="00A408C8"/>
    <w:rsid w:val="00A414C6"/>
    <w:rsid w:val="00A41632"/>
    <w:rsid w:val="00A41C8A"/>
    <w:rsid w:val="00A41F02"/>
    <w:rsid w:val="00A42FA6"/>
    <w:rsid w:val="00A43072"/>
    <w:rsid w:val="00A445CF"/>
    <w:rsid w:val="00A44C3B"/>
    <w:rsid w:val="00A44DD4"/>
    <w:rsid w:val="00A45490"/>
    <w:rsid w:val="00A45A9D"/>
    <w:rsid w:val="00A45DE8"/>
    <w:rsid w:val="00A46473"/>
    <w:rsid w:val="00A4688F"/>
    <w:rsid w:val="00A50526"/>
    <w:rsid w:val="00A50764"/>
    <w:rsid w:val="00A507AC"/>
    <w:rsid w:val="00A5085B"/>
    <w:rsid w:val="00A50D74"/>
    <w:rsid w:val="00A51351"/>
    <w:rsid w:val="00A51AE0"/>
    <w:rsid w:val="00A51CAC"/>
    <w:rsid w:val="00A523A9"/>
    <w:rsid w:val="00A523FB"/>
    <w:rsid w:val="00A5254E"/>
    <w:rsid w:val="00A5270B"/>
    <w:rsid w:val="00A52722"/>
    <w:rsid w:val="00A52D1F"/>
    <w:rsid w:val="00A53087"/>
    <w:rsid w:val="00A535C8"/>
    <w:rsid w:val="00A53960"/>
    <w:rsid w:val="00A53F76"/>
    <w:rsid w:val="00A54071"/>
    <w:rsid w:val="00A54852"/>
    <w:rsid w:val="00A54FD8"/>
    <w:rsid w:val="00A55DCA"/>
    <w:rsid w:val="00A55E0A"/>
    <w:rsid w:val="00A563B5"/>
    <w:rsid w:val="00A572D3"/>
    <w:rsid w:val="00A61347"/>
    <w:rsid w:val="00A6138C"/>
    <w:rsid w:val="00A61805"/>
    <w:rsid w:val="00A6195B"/>
    <w:rsid w:val="00A61A20"/>
    <w:rsid w:val="00A62456"/>
    <w:rsid w:val="00A62694"/>
    <w:rsid w:val="00A6345E"/>
    <w:rsid w:val="00A634C3"/>
    <w:rsid w:val="00A638EF"/>
    <w:rsid w:val="00A63BC2"/>
    <w:rsid w:val="00A63D1A"/>
    <w:rsid w:val="00A6472A"/>
    <w:rsid w:val="00A6525C"/>
    <w:rsid w:val="00A65742"/>
    <w:rsid w:val="00A65FCB"/>
    <w:rsid w:val="00A65FE0"/>
    <w:rsid w:val="00A66E53"/>
    <w:rsid w:val="00A67088"/>
    <w:rsid w:val="00A67228"/>
    <w:rsid w:val="00A67305"/>
    <w:rsid w:val="00A67D0B"/>
    <w:rsid w:val="00A67D19"/>
    <w:rsid w:val="00A704C8"/>
    <w:rsid w:val="00A70FDE"/>
    <w:rsid w:val="00A72819"/>
    <w:rsid w:val="00A72C37"/>
    <w:rsid w:val="00A72D03"/>
    <w:rsid w:val="00A72EB5"/>
    <w:rsid w:val="00A7312D"/>
    <w:rsid w:val="00A73132"/>
    <w:rsid w:val="00A736DD"/>
    <w:rsid w:val="00A73C8E"/>
    <w:rsid w:val="00A75AE2"/>
    <w:rsid w:val="00A7669C"/>
    <w:rsid w:val="00A76C3D"/>
    <w:rsid w:val="00A76DDD"/>
    <w:rsid w:val="00A80D8F"/>
    <w:rsid w:val="00A814FC"/>
    <w:rsid w:val="00A8187A"/>
    <w:rsid w:val="00A82723"/>
    <w:rsid w:val="00A82AFF"/>
    <w:rsid w:val="00A830CE"/>
    <w:rsid w:val="00A833D3"/>
    <w:rsid w:val="00A83957"/>
    <w:rsid w:val="00A83E39"/>
    <w:rsid w:val="00A84A67"/>
    <w:rsid w:val="00A84DD5"/>
    <w:rsid w:val="00A85BD5"/>
    <w:rsid w:val="00A85CA2"/>
    <w:rsid w:val="00A86790"/>
    <w:rsid w:val="00A87BCC"/>
    <w:rsid w:val="00A87ECF"/>
    <w:rsid w:val="00A90281"/>
    <w:rsid w:val="00A902B5"/>
    <w:rsid w:val="00A903B1"/>
    <w:rsid w:val="00A91A1F"/>
    <w:rsid w:val="00A91B4A"/>
    <w:rsid w:val="00A9231B"/>
    <w:rsid w:val="00A927D4"/>
    <w:rsid w:val="00A92FD8"/>
    <w:rsid w:val="00A93517"/>
    <w:rsid w:val="00A9455F"/>
    <w:rsid w:val="00A949EF"/>
    <w:rsid w:val="00A94E68"/>
    <w:rsid w:val="00A95A2D"/>
    <w:rsid w:val="00A963C6"/>
    <w:rsid w:val="00A965BD"/>
    <w:rsid w:val="00A97015"/>
    <w:rsid w:val="00A97DBF"/>
    <w:rsid w:val="00A97F51"/>
    <w:rsid w:val="00AA0501"/>
    <w:rsid w:val="00AA0585"/>
    <w:rsid w:val="00AA1364"/>
    <w:rsid w:val="00AA14A1"/>
    <w:rsid w:val="00AA22C4"/>
    <w:rsid w:val="00AA22D5"/>
    <w:rsid w:val="00AA2464"/>
    <w:rsid w:val="00AA2DF6"/>
    <w:rsid w:val="00AA2FB9"/>
    <w:rsid w:val="00AA360C"/>
    <w:rsid w:val="00AA394C"/>
    <w:rsid w:val="00AA3D05"/>
    <w:rsid w:val="00AA4187"/>
    <w:rsid w:val="00AA4271"/>
    <w:rsid w:val="00AA544F"/>
    <w:rsid w:val="00AA5B5D"/>
    <w:rsid w:val="00AA64EF"/>
    <w:rsid w:val="00AA6687"/>
    <w:rsid w:val="00AA6810"/>
    <w:rsid w:val="00AA687C"/>
    <w:rsid w:val="00AA6C87"/>
    <w:rsid w:val="00AA7FBC"/>
    <w:rsid w:val="00AB0603"/>
    <w:rsid w:val="00AB08C3"/>
    <w:rsid w:val="00AB0981"/>
    <w:rsid w:val="00AB0E46"/>
    <w:rsid w:val="00AB106E"/>
    <w:rsid w:val="00AB1556"/>
    <w:rsid w:val="00AB1AC2"/>
    <w:rsid w:val="00AB251A"/>
    <w:rsid w:val="00AB27BB"/>
    <w:rsid w:val="00AB27D0"/>
    <w:rsid w:val="00AB2910"/>
    <w:rsid w:val="00AB2961"/>
    <w:rsid w:val="00AB350E"/>
    <w:rsid w:val="00AB3687"/>
    <w:rsid w:val="00AB416F"/>
    <w:rsid w:val="00AB4A60"/>
    <w:rsid w:val="00AB4B65"/>
    <w:rsid w:val="00AB53FE"/>
    <w:rsid w:val="00AB57D6"/>
    <w:rsid w:val="00AB5D8E"/>
    <w:rsid w:val="00AB5DEE"/>
    <w:rsid w:val="00AB6745"/>
    <w:rsid w:val="00AB69BA"/>
    <w:rsid w:val="00AB6E30"/>
    <w:rsid w:val="00AB6E74"/>
    <w:rsid w:val="00AB7785"/>
    <w:rsid w:val="00AC0142"/>
    <w:rsid w:val="00AC0897"/>
    <w:rsid w:val="00AC1327"/>
    <w:rsid w:val="00AC1C96"/>
    <w:rsid w:val="00AC226A"/>
    <w:rsid w:val="00AC2474"/>
    <w:rsid w:val="00AC2844"/>
    <w:rsid w:val="00AC29C0"/>
    <w:rsid w:val="00AC2A9E"/>
    <w:rsid w:val="00AC2FFC"/>
    <w:rsid w:val="00AC3BDD"/>
    <w:rsid w:val="00AC3CDB"/>
    <w:rsid w:val="00AC4003"/>
    <w:rsid w:val="00AC40B4"/>
    <w:rsid w:val="00AC44BE"/>
    <w:rsid w:val="00AC47B6"/>
    <w:rsid w:val="00AC4992"/>
    <w:rsid w:val="00AC4BDC"/>
    <w:rsid w:val="00AC5054"/>
    <w:rsid w:val="00AC51BC"/>
    <w:rsid w:val="00AC5312"/>
    <w:rsid w:val="00AC56B6"/>
    <w:rsid w:val="00AC57EB"/>
    <w:rsid w:val="00AC5BFB"/>
    <w:rsid w:val="00AC674E"/>
    <w:rsid w:val="00AC7388"/>
    <w:rsid w:val="00AD11C8"/>
    <w:rsid w:val="00AD161A"/>
    <w:rsid w:val="00AD1BAF"/>
    <w:rsid w:val="00AD26DB"/>
    <w:rsid w:val="00AD278F"/>
    <w:rsid w:val="00AD294A"/>
    <w:rsid w:val="00AD2A56"/>
    <w:rsid w:val="00AD2EC5"/>
    <w:rsid w:val="00AD4737"/>
    <w:rsid w:val="00AD4F1C"/>
    <w:rsid w:val="00AD5590"/>
    <w:rsid w:val="00AD59C8"/>
    <w:rsid w:val="00AD65C6"/>
    <w:rsid w:val="00AD67B2"/>
    <w:rsid w:val="00AD78BF"/>
    <w:rsid w:val="00AD7C07"/>
    <w:rsid w:val="00AE0297"/>
    <w:rsid w:val="00AE04F9"/>
    <w:rsid w:val="00AE0591"/>
    <w:rsid w:val="00AE0F9A"/>
    <w:rsid w:val="00AE10A7"/>
    <w:rsid w:val="00AE1AA0"/>
    <w:rsid w:val="00AE1B73"/>
    <w:rsid w:val="00AE22CF"/>
    <w:rsid w:val="00AE23AB"/>
    <w:rsid w:val="00AE303D"/>
    <w:rsid w:val="00AE3046"/>
    <w:rsid w:val="00AE308D"/>
    <w:rsid w:val="00AE3671"/>
    <w:rsid w:val="00AE36C4"/>
    <w:rsid w:val="00AE4356"/>
    <w:rsid w:val="00AE46EB"/>
    <w:rsid w:val="00AE475E"/>
    <w:rsid w:val="00AE478F"/>
    <w:rsid w:val="00AE4A8B"/>
    <w:rsid w:val="00AE51A1"/>
    <w:rsid w:val="00AE567B"/>
    <w:rsid w:val="00AE5CC3"/>
    <w:rsid w:val="00AE7BED"/>
    <w:rsid w:val="00AF0073"/>
    <w:rsid w:val="00AF08D3"/>
    <w:rsid w:val="00AF3278"/>
    <w:rsid w:val="00AF342E"/>
    <w:rsid w:val="00AF352B"/>
    <w:rsid w:val="00AF570E"/>
    <w:rsid w:val="00AF5FE4"/>
    <w:rsid w:val="00AF61FF"/>
    <w:rsid w:val="00AF6B59"/>
    <w:rsid w:val="00AF7D83"/>
    <w:rsid w:val="00B000F9"/>
    <w:rsid w:val="00B01502"/>
    <w:rsid w:val="00B01933"/>
    <w:rsid w:val="00B028F8"/>
    <w:rsid w:val="00B02A7F"/>
    <w:rsid w:val="00B02B60"/>
    <w:rsid w:val="00B03462"/>
    <w:rsid w:val="00B0351D"/>
    <w:rsid w:val="00B05CE4"/>
    <w:rsid w:val="00B05D12"/>
    <w:rsid w:val="00B06D1D"/>
    <w:rsid w:val="00B07295"/>
    <w:rsid w:val="00B10055"/>
    <w:rsid w:val="00B10834"/>
    <w:rsid w:val="00B10A3F"/>
    <w:rsid w:val="00B10B60"/>
    <w:rsid w:val="00B10BB2"/>
    <w:rsid w:val="00B11336"/>
    <w:rsid w:val="00B11538"/>
    <w:rsid w:val="00B117DF"/>
    <w:rsid w:val="00B11DCB"/>
    <w:rsid w:val="00B126A3"/>
    <w:rsid w:val="00B15565"/>
    <w:rsid w:val="00B16216"/>
    <w:rsid w:val="00B16350"/>
    <w:rsid w:val="00B16808"/>
    <w:rsid w:val="00B16D29"/>
    <w:rsid w:val="00B16E64"/>
    <w:rsid w:val="00B16F04"/>
    <w:rsid w:val="00B17103"/>
    <w:rsid w:val="00B175B8"/>
    <w:rsid w:val="00B20300"/>
    <w:rsid w:val="00B20677"/>
    <w:rsid w:val="00B20C06"/>
    <w:rsid w:val="00B21516"/>
    <w:rsid w:val="00B21C7B"/>
    <w:rsid w:val="00B21FD1"/>
    <w:rsid w:val="00B23F0D"/>
    <w:rsid w:val="00B250FC"/>
    <w:rsid w:val="00B2591F"/>
    <w:rsid w:val="00B26A7F"/>
    <w:rsid w:val="00B27A3D"/>
    <w:rsid w:val="00B27A7F"/>
    <w:rsid w:val="00B30612"/>
    <w:rsid w:val="00B3175F"/>
    <w:rsid w:val="00B318F6"/>
    <w:rsid w:val="00B32AC2"/>
    <w:rsid w:val="00B32E56"/>
    <w:rsid w:val="00B32F00"/>
    <w:rsid w:val="00B33F23"/>
    <w:rsid w:val="00B34381"/>
    <w:rsid w:val="00B344B2"/>
    <w:rsid w:val="00B34BD9"/>
    <w:rsid w:val="00B3758E"/>
    <w:rsid w:val="00B37739"/>
    <w:rsid w:val="00B37F72"/>
    <w:rsid w:val="00B402D6"/>
    <w:rsid w:val="00B4049F"/>
    <w:rsid w:val="00B4081C"/>
    <w:rsid w:val="00B4087C"/>
    <w:rsid w:val="00B40CD0"/>
    <w:rsid w:val="00B40CD9"/>
    <w:rsid w:val="00B41530"/>
    <w:rsid w:val="00B41D81"/>
    <w:rsid w:val="00B41E9D"/>
    <w:rsid w:val="00B42288"/>
    <w:rsid w:val="00B42F4F"/>
    <w:rsid w:val="00B43601"/>
    <w:rsid w:val="00B43A76"/>
    <w:rsid w:val="00B43B0C"/>
    <w:rsid w:val="00B44050"/>
    <w:rsid w:val="00B446F7"/>
    <w:rsid w:val="00B447B0"/>
    <w:rsid w:val="00B459EE"/>
    <w:rsid w:val="00B459F9"/>
    <w:rsid w:val="00B45F73"/>
    <w:rsid w:val="00B46293"/>
    <w:rsid w:val="00B46D80"/>
    <w:rsid w:val="00B47B62"/>
    <w:rsid w:val="00B47B88"/>
    <w:rsid w:val="00B47F2A"/>
    <w:rsid w:val="00B5043B"/>
    <w:rsid w:val="00B50462"/>
    <w:rsid w:val="00B5077D"/>
    <w:rsid w:val="00B50933"/>
    <w:rsid w:val="00B50C19"/>
    <w:rsid w:val="00B50CF6"/>
    <w:rsid w:val="00B51640"/>
    <w:rsid w:val="00B51994"/>
    <w:rsid w:val="00B51B52"/>
    <w:rsid w:val="00B522D3"/>
    <w:rsid w:val="00B52546"/>
    <w:rsid w:val="00B53411"/>
    <w:rsid w:val="00B5388A"/>
    <w:rsid w:val="00B53A6B"/>
    <w:rsid w:val="00B53A71"/>
    <w:rsid w:val="00B53B9B"/>
    <w:rsid w:val="00B53ECC"/>
    <w:rsid w:val="00B54334"/>
    <w:rsid w:val="00B54BEC"/>
    <w:rsid w:val="00B54D96"/>
    <w:rsid w:val="00B54F38"/>
    <w:rsid w:val="00B55D07"/>
    <w:rsid w:val="00B55F2D"/>
    <w:rsid w:val="00B56E28"/>
    <w:rsid w:val="00B571E2"/>
    <w:rsid w:val="00B57711"/>
    <w:rsid w:val="00B60385"/>
    <w:rsid w:val="00B60CE6"/>
    <w:rsid w:val="00B611D7"/>
    <w:rsid w:val="00B614CC"/>
    <w:rsid w:val="00B62A47"/>
    <w:rsid w:val="00B62DCD"/>
    <w:rsid w:val="00B62E4C"/>
    <w:rsid w:val="00B6302F"/>
    <w:rsid w:val="00B631A1"/>
    <w:rsid w:val="00B63266"/>
    <w:rsid w:val="00B632B9"/>
    <w:rsid w:val="00B635DA"/>
    <w:rsid w:val="00B63EF2"/>
    <w:rsid w:val="00B64193"/>
    <w:rsid w:val="00B64303"/>
    <w:rsid w:val="00B643EE"/>
    <w:rsid w:val="00B653B1"/>
    <w:rsid w:val="00B6594B"/>
    <w:rsid w:val="00B65D3E"/>
    <w:rsid w:val="00B664EA"/>
    <w:rsid w:val="00B66761"/>
    <w:rsid w:val="00B668F5"/>
    <w:rsid w:val="00B6796D"/>
    <w:rsid w:val="00B67B55"/>
    <w:rsid w:val="00B70015"/>
    <w:rsid w:val="00B702B8"/>
    <w:rsid w:val="00B70B75"/>
    <w:rsid w:val="00B712AB"/>
    <w:rsid w:val="00B717ED"/>
    <w:rsid w:val="00B72235"/>
    <w:rsid w:val="00B724D7"/>
    <w:rsid w:val="00B73257"/>
    <w:rsid w:val="00B7368A"/>
    <w:rsid w:val="00B73BE2"/>
    <w:rsid w:val="00B73D2B"/>
    <w:rsid w:val="00B73F46"/>
    <w:rsid w:val="00B74AA3"/>
    <w:rsid w:val="00B77B67"/>
    <w:rsid w:val="00B77B74"/>
    <w:rsid w:val="00B77F25"/>
    <w:rsid w:val="00B81087"/>
    <w:rsid w:val="00B81204"/>
    <w:rsid w:val="00B823C0"/>
    <w:rsid w:val="00B83039"/>
    <w:rsid w:val="00B830A8"/>
    <w:rsid w:val="00B8389F"/>
    <w:rsid w:val="00B839DB"/>
    <w:rsid w:val="00B84C09"/>
    <w:rsid w:val="00B850E1"/>
    <w:rsid w:val="00B85F57"/>
    <w:rsid w:val="00B863DB"/>
    <w:rsid w:val="00B87141"/>
    <w:rsid w:val="00B87EC4"/>
    <w:rsid w:val="00B90879"/>
    <w:rsid w:val="00B908A4"/>
    <w:rsid w:val="00B90F5E"/>
    <w:rsid w:val="00B92001"/>
    <w:rsid w:val="00B92013"/>
    <w:rsid w:val="00B92ECB"/>
    <w:rsid w:val="00B93104"/>
    <w:rsid w:val="00B9337D"/>
    <w:rsid w:val="00B93B90"/>
    <w:rsid w:val="00B94585"/>
    <w:rsid w:val="00B94F29"/>
    <w:rsid w:val="00B9526D"/>
    <w:rsid w:val="00B95C64"/>
    <w:rsid w:val="00B95F99"/>
    <w:rsid w:val="00B964E4"/>
    <w:rsid w:val="00B9741E"/>
    <w:rsid w:val="00B978C5"/>
    <w:rsid w:val="00B97E68"/>
    <w:rsid w:val="00BA0425"/>
    <w:rsid w:val="00BA086B"/>
    <w:rsid w:val="00BA093F"/>
    <w:rsid w:val="00BA1730"/>
    <w:rsid w:val="00BA1EA5"/>
    <w:rsid w:val="00BA23B3"/>
    <w:rsid w:val="00BA23D2"/>
    <w:rsid w:val="00BA2A38"/>
    <w:rsid w:val="00BA2D61"/>
    <w:rsid w:val="00BA383B"/>
    <w:rsid w:val="00BA4063"/>
    <w:rsid w:val="00BA55BF"/>
    <w:rsid w:val="00BA5968"/>
    <w:rsid w:val="00BA6018"/>
    <w:rsid w:val="00BA61C0"/>
    <w:rsid w:val="00BA66D8"/>
    <w:rsid w:val="00BA6B86"/>
    <w:rsid w:val="00BA6E2D"/>
    <w:rsid w:val="00BA6E4B"/>
    <w:rsid w:val="00BB0589"/>
    <w:rsid w:val="00BB0969"/>
    <w:rsid w:val="00BB2309"/>
    <w:rsid w:val="00BB24F7"/>
    <w:rsid w:val="00BB2E1A"/>
    <w:rsid w:val="00BB38EE"/>
    <w:rsid w:val="00BB4114"/>
    <w:rsid w:val="00BB4360"/>
    <w:rsid w:val="00BB58B5"/>
    <w:rsid w:val="00BB5E8C"/>
    <w:rsid w:val="00BB6501"/>
    <w:rsid w:val="00BB78C9"/>
    <w:rsid w:val="00BB7C72"/>
    <w:rsid w:val="00BB7F4E"/>
    <w:rsid w:val="00BC02F6"/>
    <w:rsid w:val="00BC03AD"/>
    <w:rsid w:val="00BC0717"/>
    <w:rsid w:val="00BC0A4A"/>
    <w:rsid w:val="00BC0B07"/>
    <w:rsid w:val="00BC10BF"/>
    <w:rsid w:val="00BC24B7"/>
    <w:rsid w:val="00BC2643"/>
    <w:rsid w:val="00BC3062"/>
    <w:rsid w:val="00BC30C4"/>
    <w:rsid w:val="00BC3420"/>
    <w:rsid w:val="00BC36D6"/>
    <w:rsid w:val="00BC3726"/>
    <w:rsid w:val="00BC479A"/>
    <w:rsid w:val="00BC482C"/>
    <w:rsid w:val="00BC571E"/>
    <w:rsid w:val="00BC6524"/>
    <w:rsid w:val="00BC6559"/>
    <w:rsid w:val="00BC66CC"/>
    <w:rsid w:val="00BC69BE"/>
    <w:rsid w:val="00BD02CB"/>
    <w:rsid w:val="00BD0626"/>
    <w:rsid w:val="00BD0782"/>
    <w:rsid w:val="00BD0FD3"/>
    <w:rsid w:val="00BD185F"/>
    <w:rsid w:val="00BD18F7"/>
    <w:rsid w:val="00BD195B"/>
    <w:rsid w:val="00BD2468"/>
    <w:rsid w:val="00BD24FF"/>
    <w:rsid w:val="00BD2D6F"/>
    <w:rsid w:val="00BD3624"/>
    <w:rsid w:val="00BD6703"/>
    <w:rsid w:val="00BD74DF"/>
    <w:rsid w:val="00BE08C4"/>
    <w:rsid w:val="00BE0BEE"/>
    <w:rsid w:val="00BE117E"/>
    <w:rsid w:val="00BE1F32"/>
    <w:rsid w:val="00BE32A1"/>
    <w:rsid w:val="00BE35D2"/>
    <w:rsid w:val="00BE3809"/>
    <w:rsid w:val="00BE462E"/>
    <w:rsid w:val="00BE49B4"/>
    <w:rsid w:val="00BE4E3B"/>
    <w:rsid w:val="00BE4FEB"/>
    <w:rsid w:val="00BE53CF"/>
    <w:rsid w:val="00BE53EB"/>
    <w:rsid w:val="00BE53F6"/>
    <w:rsid w:val="00BE569C"/>
    <w:rsid w:val="00BE5ED8"/>
    <w:rsid w:val="00BE6637"/>
    <w:rsid w:val="00BE684A"/>
    <w:rsid w:val="00BE69D7"/>
    <w:rsid w:val="00BE7225"/>
    <w:rsid w:val="00BE76EC"/>
    <w:rsid w:val="00BE796D"/>
    <w:rsid w:val="00BE7D52"/>
    <w:rsid w:val="00BF017B"/>
    <w:rsid w:val="00BF0435"/>
    <w:rsid w:val="00BF0967"/>
    <w:rsid w:val="00BF13AD"/>
    <w:rsid w:val="00BF17E6"/>
    <w:rsid w:val="00BF1892"/>
    <w:rsid w:val="00BF1D86"/>
    <w:rsid w:val="00BF33BD"/>
    <w:rsid w:val="00BF4221"/>
    <w:rsid w:val="00BF4E6F"/>
    <w:rsid w:val="00BF512F"/>
    <w:rsid w:val="00BF64E2"/>
    <w:rsid w:val="00BF6E76"/>
    <w:rsid w:val="00BF6FE3"/>
    <w:rsid w:val="00BF7834"/>
    <w:rsid w:val="00BF7B7C"/>
    <w:rsid w:val="00C01397"/>
    <w:rsid w:val="00C01811"/>
    <w:rsid w:val="00C01CDB"/>
    <w:rsid w:val="00C01D67"/>
    <w:rsid w:val="00C02426"/>
    <w:rsid w:val="00C03C2E"/>
    <w:rsid w:val="00C044A2"/>
    <w:rsid w:val="00C04B07"/>
    <w:rsid w:val="00C04EFF"/>
    <w:rsid w:val="00C05192"/>
    <w:rsid w:val="00C05409"/>
    <w:rsid w:val="00C05C32"/>
    <w:rsid w:val="00C0721A"/>
    <w:rsid w:val="00C07659"/>
    <w:rsid w:val="00C0799D"/>
    <w:rsid w:val="00C07CF6"/>
    <w:rsid w:val="00C10907"/>
    <w:rsid w:val="00C10E47"/>
    <w:rsid w:val="00C10F0A"/>
    <w:rsid w:val="00C11833"/>
    <w:rsid w:val="00C11D85"/>
    <w:rsid w:val="00C1269B"/>
    <w:rsid w:val="00C13092"/>
    <w:rsid w:val="00C13389"/>
    <w:rsid w:val="00C1373A"/>
    <w:rsid w:val="00C1381E"/>
    <w:rsid w:val="00C14231"/>
    <w:rsid w:val="00C14520"/>
    <w:rsid w:val="00C154A0"/>
    <w:rsid w:val="00C1565A"/>
    <w:rsid w:val="00C15838"/>
    <w:rsid w:val="00C15E82"/>
    <w:rsid w:val="00C1627D"/>
    <w:rsid w:val="00C169D5"/>
    <w:rsid w:val="00C16FFC"/>
    <w:rsid w:val="00C203E9"/>
    <w:rsid w:val="00C2201D"/>
    <w:rsid w:val="00C22150"/>
    <w:rsid w:val="00C239BB"/>
    <w:rsid w:val="00C2475D"/>
    <w:rsid w:val="00C24776"/>
    <w:rsid w:val="00C24792"/>
    <w:rsid w:val="00C24C1B"/>
    <w:rsid w:val="00C24DF0"/>
    <w:rsid w:val="00C25021"/>
    <w:rsid w:val="00C25390"/>
    <w:rsid w:val="00C253A5"/>
    <w:rsid w:val="00C267EE"/>
    <w:rsid w:val="00C2680A"/>
    <w:rsid w:val="00C268CC"/>
    <w:rsid w:val="00C3018D"/>
    <w:rsid w:val="00C305FA"/>
    <w:rsid w:val="00C3085E"/>
    <w:rsid w:val="00C30A26"/>
    <w:rsid w:val="00C3235D"/>
    <w:rsid w:val="00C33543"/>
    <w:rsid w:val="00C336CC"/>
    <w:rsid w:val="00C33C4A"/>
    <w:rsid w:val="00C34030"/>
    <w:rsid w:val="00C341D3"/>
    <w:rsid w:val="00C34427"/>
    <w:rsid w:val="00C34A21"/>
    <w:rsid w:val="00C34CFA"/>
    <w:rsid w:val="00C35BD4"/>
    <w:rsid w:val="00C35BF2"/>
    <w:rsid w:val="00C35F40"/>
    <w:rsid w:val="00C35FE1"/>
    <w:rsid w:val="00C3622D"/>
    <w:rsid w:val="00C37164"/>
    <w:rsid w:val="00C37660"/>
    <w:rsid w:val="00C37C25"/>
    <w:rsid w:val="00C40983"/>
    <w:rsid w:val="00C40DBB"/>
    <w:rsid w:val="00C40E06"/>
    <w:rsid w:val="00C40E45"/>
    <w:rsid w:val="00C41186"/>
    <w:rsid w:val="00C4126E"/>
    <w:rsid w:val="00C41534"/>
    <w:rsid w:val="00C4179B"/>
    <w:rsid w:val="00C41833"/>
    <w:rsid w:val="00C41E00"/>
    <w:rsid w:val="00C41F7A"/>
    <w:rsid w:val="00C42E36"/>
    <w:rsid w:val="00C434EE"/>
    <w:rsid w:val="00C43644"/>
    <w:rsid w:val="00C4417F"/>
    <w:rsid w:val="00C4439C"/>
    <w:rsid w:val="00C44511"/>
    <w:rsid w:val="00C447AD"/>
    <w:rsid w:val="00C453F0"/>
    <w:rsid w:val="00C45E75"/>
    <w:rsid w:val="00C46BB0"/>
    <w:rsid w:val="00C4787D"/>
    <w:rsid w:val="00C47E9B"/>
    <w:rsid w:val="00C506C1"/>
    <w:rsid w:val="00C50825"/>
    <w:rsid w:val="00C50A0E"/>
    <w:rsid w:val="00C50B78"/>
    <w:rsid w:val="00C50BCF"/>
    <w:rsid w:val="00C5126B"/>
    <w:rsid w:val="00C514E1"/>
    <w:rsid w:val="00C51640"/>
    <w:rsid w:val="00C51ADE"/>
    <w:rsid w:val="00C52332"/>
    <w:rsid w:val="00C52875"/>
    <w:rsid w:val="00C52F85"/>
    <w:rsid w:val="00C5318A"/>
    <w:rsid w:val="00C54034"/>
    <w:rsid w:val="00C54828"/>
    <w:rsid w:val="00C54DBC"/>
    <w:rsid w:val="00C54FAD"/>
    <w:rsid w:val="00C55655"/>
    <w:rsid w:val="00C55AE0"/>
    <w:rsid w:val="00C5603E"/>
    <w:rsid w:val="00C563BA"/>
    <w:rsid w:val="00C56425"/>
    <w:rsid w:val="00C564A5"/>
    <w:rsid w:val="00C56B85"/>
    <w:rsid w:val="00C56FA0"/>
    <w:rsid w:val="00C56FE5"/>
    <w:rsid w:val="00C575A9"/>
    <w:rsid w:val="00C608E3"/>
    <w:rsid w:val="00C61118"/>
    <w:rsid w:val="00C61C8A"/>
    <w:rsid w:val="00C622A7"/>
    <w:rsid w:val="00C62327"/>
    <w:rsid w:val="00C6243F"/>
    <w:rsid w:val="00C63532"/>
    <w:rsid w:val="00C63DE0"/>
    <w:rsid w:val="00C645B1"/>
    <w:rsid w:val="00C64FDB"/>
    <w:rsid w:val="00C65640"/>
    <w:rsid w:val="00C65FA6"/>
    <w:rsid w:val="00C66267"/>
    <w:rsid w:val="00C663D1"/>
    <w:rsid w:val="00C66492"/>
    <w:rsid w:val="00C66544"/>
    <w:rsid w:val="00C66A54"/>
    <w:rsid w:val="00C66F6C"/>
    <w:rsid w:val="00C678E9"/>
    <w:rsid w:val="00C67BE0"/>
    <w:rsid w:val="00C67FC0"/>
    <w:rsid w:val="00C706CD"/>
    <w:rsid w:val="00C70E11"/>
    <w:rsid w:val="00C716B7"/>
    <w:rsid w:val="00C71D51"/>
    <w:rsid w:val="00C71F2D"/>
    <w:rsid w:val="00C72626"/>
    <w:rsid w:val="00C73194"/>
    <w:rsid w:val="00C7344A"/>
    <w:rsid w:val="00C74068"/>
    <w:rsid w:val="00C74102"/>
    <w:rsid w:val="00C745AD"/>
    <w:rsid w:val="00C7483F"/>
    <w:rsid w:val="00C74880"/>
    <w:rsid w:val="00C74A56"/>
    <w:rsid w:val="00C75157"/>
    <w:rsid w:val="00C757C6"/>
    <w:rsid w:val="00C7651E"/>
    <w:rsid w:val="00C7670F"/>
    <w:rsid w:val="00C76D2F"/>
    <w:rsid w:val="00C7705B"/>
    <w:rsid w:val="00C7716D"/>
    <w:rsid w:val="00C77534"/>
    <w:rsid w:val="00C778F4"/>
    <w:rsid w:val="00C77961"/>
    <w:rsid w:val="00C77A6C"/>
    <w:rsid w:val="00C8064E"/>
    <w:rsid w:val="00C80AE0"/>
    <w:rsid w:val="00C80B98"/>
    <w:rsid w:val="00C811D7"/>
    <w:rsid w:val="00C8178A"/>
    <w:rsid w:val="00C81BBD"/>
    <w:rsid w:val="00C8211A"/>
    <w:rsid w:val="00C82434"/>
    <w:rsid w:val="00C82FAC"/>
    <w:rsid w:val="00C83F91"/>
    <w:rsid w:val="00C84858"/>
    <w:rsid w:val="00C85234"/>
    <w:rsid w:val="00C856AD"/>
    <w:rsid w:val="00C856E8"/>
    <w:rsid w:val="00C8577F"/>
    <w:rsid w:val="00C85E8B"/>
    <w:rsid w:val="00C85F6D"/>
    <w:rsid w:val="00C8654D"/>
    <w:rsid w:val="00C872C8"/>
    <w:rsid w:val="00C87336"/>
    <w:rsid w:val="00C8755D"/>
    <w:rsid w:val="00C87CB3"/>
    <w:rsid w:val="00C87E3C"/>
    <w:rsid w:val="00C906C6"/>
    <w:rsid w:val="00C91A3D"/>
    <w:rsid w:val="00C9267F"/>
    <w:rsid w:val="00C936A1"/>
    <w:rsid w:val="00C9373D"/>
    <w:rsid w:val="00C93823"/>
    <w:rsid w:val="00C9389F"/>
    <w:rsid w:val="00C93BAE"/>
    <w:rsid w:val="00C93C7A"/>
    <w:rsid w:val="00C94031"/>
    <w:rsid w:val="00C94621"/>
    <w:rsid w:val="00C9467E"/>
    <w:rsid w:val="00C946A4"/>
    <w:rsid w:val="00C94B99"/>
    <w:rsid w:val="00C94FCC"/>
    <w:rsid w:val="00C9579F"/>
    <w:rsid w:val="00C96C2B"/>
    <w:rsid w:val="00CA0580"/>
    <w:rsid w:val="00CA160E"/>
    <w:rsid w:val="00CA164E"/>
    <w:rsid w:val="00CA295C"/>
    <w:rsid w:val="00CA3329"/>
    <w:rsid w:val="00CA3F61"/>
    <w:rsid w:val="00CA4350"/>
    <w:rsid w:val="00CA4849"/>
    <w:rsid w:val="00CA55F4"/>
    <w:rsid w:val="00CA57DD"/>
    <w:rsid w:val="00CA5E5E"/>
    <w:rsid w:val="00CA6779"/>
    <w:rsid w:val="00CA688F"/>
    <w:rsid w:val="00CA68E8"/>
    <w:rsid w:val="00CB0143"/>
    <w:rsid w:val="00CB18D2"/>
    <w:rsid w:val="00CB1986"/>
    <w:rsid w:val="00CB1E97"/>
    <w:rsid w:val="00CB321E"/>
    <w:rsid w:val="00CB3238"/>
    <w:rsid w:val="00CB3491"/>
    <w:rsid w:val="00CB3654"/>
    <w:rsid w:val="00CB4531"/>
    <w:rsid w:val="00CB4EF6"/>
    <w:rsid w:val="00CB5003"/>
    <w:rsid w:val="00CB5A41"/>
    <w:rsid w:val="00CB5D92"/>
    <w:rsid w:val="00CB5E70"/>
    <w:rsid w:val="00CB5FE3"/>
    <w:rsid w:val="00CB6E28"/>
    <w:rsid w:val="00CB7042"/>
    <w:rsid w:val="00CB7926"/>
    <w:rsid w:val="00CB7940"/>
    <w:rsid w:val="00CB7F87"/>
    <w:rsid w:val="00CC032D"/>
    <w:rsid w:val="00CC0BD7"/>
    <w:rsid w:val="00CC0FB6"/>
    <w:rsid w:val="00CC294D"/>
    <w:rsid w:val="00CC2958"/>
    <w:rsid w:val="00CC2CC4"/>
    <w:rsid w:val="00CC354F"/>
    <w:rsid w:val="00CC36E2"/>
    <w:rsid w:val="00CC3787"/>
    <w:rsid w:val="00CC3C84"/>
    <w:rsid w:val="00CC45E2"/>
    <w:rsid w:val="00CC4A89"/>
    <w:rsid w:val="00CC6500"/>
    <w:rsid w:val="00CC65AF"/>
    <w:rsid w:val="00CC6ED2"/>
    <w:rsid w:val="00CC6FF8"/>
    <w:rsid w:val="00CC7580"/>
    <w:rsid w:val="00CC78D3"/>
    <w:rsid w:val="00CC79FB"/>
    <w:rsid w:val="00CC7DBD"/>
    <w:rsid w:val="00CD08E3"/>
    <w:rsid w:val="00CD0AEF"/>
    <w:rsid w:val="00CD1D7F"/>
    <w:rsid w:val="00CD1E8F"/>
    <w:rsid w:val="00CD1EA1"/>
    <w:rsid w:val="00CD1EDC"/>
    <w:rsid w:val="00CD2078"/>
    <w:rsid w:val="00CD2522"/>
    <w:rsid w:val="00CD2EEC"/>
    <w:rsid w:val="00CD2F04"/>
    <w:rsid w:val="00CD30D1"/>
    <w:rsid w:val="00CD3485"/>
    <w:rsid w:val="00CD355F"/>
    <w:rsid w:val="00CD3714"/>
    <w:rsid w:val="00CD404B"/>
    <w:rsid w:val="00CD490A"/>
    <w:rsid w:val="00CD499E"/>
    <w:rsid w:val="00CD5199"/>
    <w:rsid w:val="00CD6DFD"/>
    <w:rsid w:val="00CD7ABB"/>
    <w:rsid w:val="00CD7DC9"/>
    <w:rsid w:val="00CE072B"/>
    <w:rsid w:val="00CE0D07"/>
    <w:rsid w:val="00CE1114"/>
    <w:rsid w:val="00CE112F"/>
    <w:rsid w:val="00CE1EA4"/>
    <w:rsid w:val="00CE1FEB"/>
    <w:rsid w:val="00CE347F"/>
    <w:rsid w:val="00CE374A"/>
    <w:rsid w:val="00CE383F"/>
    <w:rsid w:val="00CE3AEA"/>
    <w:rsid w:val="00CE3E9A"/>
    <w:rsid w:val="00CE453C"/>
    <w:rsid w:val="00CE477F"/>
    <w:rsid w:val="00CE48AD"/>
    <w:rsid w:val="00CE497E"/>
    <w:rsid w:val="00CE4B0E"/>
    <w:rsid w:val="00CE540C"/>
    <w:rsid w:val="00CE55BD"/>
    <w:rsid w:val="00CE5644"/>
    <w:rsid w:val="00CE58A3"/>
    <w:rsid w:val="00CE5C0D"/>
    <w:rsid w:val="00CE6377"/>
    <w:rsid w:val="00CE664D"/>
    <w:rsid w:val="00CE67FA"/>
    <w:rsid w:val="00CE6CF9"/>
    <w:rsid w:val="00CE73DA"/>
    <w:rsid w:val="00CE763E"/>
    <w:rsid w:val="00CE7FD2"/>
    <w:rsid w:val="00CF037E"/>
    <w:rsid w:val="00CF099F"/>
    <w:rsid w:val="00CF0E53"/>
    <w:rsid w:val="00CF0FDF"/>
    <w:rsid w:val="00CF1007"/>
    <w:rsid w:val="00CF1BC0"/>
    <w:rsid w:val="00CF1D51"/>
    <w:rsid w:val="00CF20C0"/>
    <w:rsid w:val="00CF20F7"/>
    <w:rsid w:val="00CF25DE"/>
    <w:rsid w:val="00CF2B93"/>
    <w:rsid w:val="00CF2E66"/>
    <w:rsid w:val="00CF3322"/>
    <w:rsid w:val="00CF39ED"/>
    <w:rsid w:val="00CF49ED"/>
    <w:rsid w:val="00CF4A8E"/>
    <w:rsid w:val="00CF52CC"/>
    <w:rsid w:val="00CF5AD6"/>
    <w:rsid w:val="00CF6670"/>
    <w:rsid w:val="00D00029"/>
    <w:rsid w:val="00D00D52"/>
    <w:rsid w:val="00D01105"/>
    <w:rsid w:val="00D011F4"/>
    <w:rsid w:val="00D01563"/>
    <w:rsid w:val="00D01998"/>
    <w:rsid w:val="00D01B38"/>
    <w:rsid w:val="00D01C78"/>
    <w:rsid w:val="00D02F2D"/>
    <w:rsid w:val="00D03039"/>
    <w:rsid w:val="00D039D9"/>
    <w:rsid w:val="00D03D2A"/>
    <w:rsid w:val="00D04078"/>
    <w:rsid w:val="00D0478C"/>
    <w:rsid w:val="00D04975"/>
    <w:rsid w:val="00D04C88"/>
    <w:rsid w:val="00D0653C"/>
    <w:rsid w:val="00D068C8"/>
    <w:rsid w:val="00D06AA0"/>
    <w:rsid w:val="00D07E31"/>
    <w:rsid w:val="00D1090A"/>
    <w:rsid w:val="00D10D9D"/>
    <w:rsid w:val="00D11A16"/>
    <w:rsid w:val="00D11A37"/>
    <w:rsid w:val="00D11A4F"/>
    <w:rsid w:val="00D1257F"/>
    <w:rsid w:val="00D12C15"/>
    <w:rsid w:val="00D136B3"/>
    <w:rsid w:val="00D13FF0"/>
    <w:rsid w:val="00D14A0C"/>
    <w:rsid w:val="00D14DE4"/>
    <w:rsid w:val="00D15216"/>
    <w:rsid w:val="00D15362"/>
    <w:rsid w:val="00D158CB"/>
    <w:rsid w:val="00D15CCE"/>
    <w:rsid w:val="00D16A96"/>
    <w:rsid w:val="00D17275"/>
    <w:rsid w:val="00D178D5"/>
    <w:rsid w:val="00D17CB1"/>
    <w:rsid w:val="00D2259F"/>
    <w:rsid w:val="00D233E3"/>
    <w:rsid w:val="00D23422"/>
    <w:rsid w:val="00D237BC"/>
    <w:rsid w:val="00D24070"/>
    <w:rsid w:val="00D2555F"/>
    <w:rsid w:val="00D25C0B"/>
    <w:rsid w:val="00D25FB4"/>
    <w:rsid w:val="00D2628C"/>
    <w:rsid w:val="00D26621"/>
    <w:rsid w:val="00D26791"/>
    <w:rsid w:val="00D26CCD"/>
    <w:rsid w:val="00D2732E"/>
    <w:rsid w:val="00D27477"/>
    <w:rsid w:val="00D27930"/>
    <w:rsid w:val="00D279AF"/>
    <w:rsid w:val="00D308D9"/>
    <w:rsid w:val="00D31AE6"/>
    <w:rsid w:val="00D31DD2"/>
    <w:rsid w:val="00D31E24"/>
    <w:rsid w:val="00D33297"/>
    <w:rsid w:val="00D333E7"/>
    <w:rsid w:val="00D3375E"/>
    <w:rsid w:val="00D3376F"/>
    <w:rsid w:val="00D3398A"/>
    <w:rsid w:val="00D33B67"/>
    <w:rsid w:val="00D33DA9"/>
    <w:rsid w:val="00D34075"/>
    <w:rsid w:val="00D341C5"/>
    <w:rsid w:val="00D34482"/>
    <w:rsid w:val="00D34672"/>
    <w:rsid w:val="00D34BC1"/>
    <w:rsid w:val="00D353EE"/>
    <w:rsid w:val="00D3542F"/>
    <w:rsid w:val="00D35B8A"/>
    <w:rsid w:val="00D35B8D"/>
    <w:rsid w:val="00D3610B"/>
    <w:rsid w:val="00D36B01"/>
    <w:rsid w:val="00D37E6A"/>
    <w:rsid w:val="00D4014B"/>
    <w:rsid w:val="00D40173"/>
    <w:rsid w:val="00D40C13"/>
    <w:rsid w:val="00D41455"/>
    <w:rsid w:val="00D41F65"/>
    <w:rsid w:val="00D425C6"/>
    <w:rsid w:val="00D42BA9"/>
    <w:rsid w:val="00D42D31"/>
    <w:rsid w:val="00D43414"/>
    <w:rsid w:val="00D43795"/>
    <w:rsid w:val="00D446E1"/>
    <w:rsid w:val="00D4481C"/>
    <w:rsid w:val="00D45837"/>
    <w:rsid w:val="00D45A45"/>
    <w:rsid w:val="00D45B66"/>
    <w:rsid w:val="00D45FFF"/>
    <w:rsid w:val="00D46A29"/>
    <w:rsid w:val="00D47ECB"/>
    <w:rsid w:val="00D50133"/>
    <w:rsid w:val="00D50425"/>
    <w:rsid w:val="00D51717"/>
    <w:rsid w:val="00D519A5"/>
    <w:rsid w:val="00D51F12"/>
    <w:rsid w:val="00D54187"/>
    <w:rsid w:val="00D545DF"/>
    <w:rsid w:val="00D551FD"/>
    <w:rsid w:val="00D554B2"/>
    <w:rsid w:val="00D557C6"/>
    <w:rsid w:val="00D55EE1"/>
    <w:rsid w:val="00D56D1F"/>
    <w:rsid w:val="00D61F83"/>
    <w:rsid w:val="00D6274E"/>
    <w:rsid w:val="00D62C74"/>
    <w:rsid w:val="00D635E6"/>
    <w:rsid w:val="00D63B9E"/>
    <w:rsid w:val="00D63F03"/>
    <w:rsid w:val="00D640C1"/>
    <w:rsid w:val="00D64109"/>
    <w:rsid w:val="00D641B9"/>
    <w:rsid w:val="00D64F31"/>
    <w:rsid w:val="00D6539B"/>
    <w:rsid w:val="00D65E8B"/>
    <w:rsid w:val="00D66410"/>
    <w:rsid w:val="00D6645B"/>
    <w:rsid w:val="00D66B14"/>
    <w:rsid w:val="00D66DA8"/>
    <w:rsid w:val="00D672F5"/>
    <w:rsid w:val="00D67347"/>
    <w:rsid w:val="00D67EFA"/>
    <w:rsid w:val="00D70AC2"/>
    <w:rsid w:val="00D70DD3"/>
    <w:rsid w:val="00D713A7"/>
    <w:rsid w:val="00D716B8"/>
    <w:rsid w:val="00D71C3C"/>
    <w:rsid w:val="00D72504"/>
    <w:rsid w:val="00D72E4A"/>
    <w:rsid w:val="00D733A4"/>
    <w:rsid w:val="00D73633"/>
    <w:rsid w:val="00D73A34"/>
    <w:rsid w:val="00D73FE5"/>
    <w:rsid w:val="00D74794"/>
    <w:rsid w:val="00D7482B"/>
    <w:rsid w:val="00D75203"/>
    <w:rsid w:val="00D754B8"/>
    <w:rsid w:val="00D75DEC"/>
    <w:rsid w:val="00D761CF"/>
    <w:rsid w:val="00D764C6"/>
    <w:rsid w:val="00D76609"/>
    <w:rsid w:val="00D766EC"/>
    <w:rsid w:val="00D76C03"/>
    <w:rsid w:val="00D76F78"/>
    <w:rsid w:val="00D812BD"/>
    <w:rsid w:val="00D81832"/>
    <w:rsid w:val="00D82388"/>
    <w:rsid w:val="00D823CE"/>
    <w:rsid w:val="00D8243B"/>
    <w:rsid w:val="00D826A5"/>
    <w:rsid w:val="00D82749"/>
    <w:rsid w:val="00D8288D"/>
    <w:rsid w:val="00D82B62"/>
    <w:rsid w:val="00D82C31"/>
    <w:rsid w:val="00D8348E"/>
    <w:rsid w:val="00D834A0"/>
    <w:rsid w:val="00D834FA"/>
    <w:rsid w:val="00D8475C"/>
    <w:rsid w:val="00D84C41"/>
    <w:rsid w:val="00D85713"/>
    <w:rsid w:val="00D85A25"/>
    <w:rsid w:val="00D86555"/>
    <w:rsid w:val="00D87660"/>
    <w:rsid w:val="00D87EF1"/>
    <w:rsid w:val="00D900D4"/>
    <w:rsid w:val="00D91051"/>
    <w:rsid w:val="00D9163F"/>
    <w:rsid w:val="00D9176C"/>
    <w:rsid w:val="00D91B9F"/>
    <w:rsid w:val="00D91C23"/>
    <w:rsid w:val="00D921A3"/>
    <w:rsid w:val="00D92640"/>
    <w:rsid w:val="00D92746"/>
    <w:rsid w:val="00D9274B"/>
    <w:rsid w:val="00D92A51"/>
    <w:rsid w:val="00D92CC7"/>
    <w:rsid w:val="00D92F9F"/>
    <w:rsid w:val="00D932DC"/>
    <w:rsid w:val="00D93BF7"/>
    <w:rsid w:val="00D94412"/>
    <w:rsid w:val="00D947A2"/>
    <w:rsid w:val="00D948DA"/>
    <w:rsid w:val="00D95A5B"/>
    <w:rsid w:val="00D95F26"/>
    <w:rsid w:val="00D96177"/>
    <w:rsid w:val="00D96525"/>
    <w:rsid w:val="00D96672"/>
    <w:rsid w:val="00D96D49"/>
    <w:rsid w:val="00D96D9E"/>
    <w:rsid w:val="00D96DC4"/>
    <w:rsid w:val="00D96F66"/>
    <w:rsid w:val="00D9735D"/>
    <w:rsid w:val="00D977FC"/>
    <w:rsid w:val="00D9793C"/>
    <w:rsid w:val="00D97B99"/>
    <w:rsid w:val="00D97DDE"/>
    <w:rsid w:val="00DA138E"/>
    <w:rsid w:val="00DA1F8D"/>
    <w:rsid w:val="00DA2151"/>
    <w:rsid w:val="00DA2382"/>
    <w:rsid w:val="00DA25D1"/>
    <w:rsid w:val="00DA2ECC"/>
    <w:rsid w:val="00DA3DFD"/>
    <w:rsid w:val="00DA402D"/>
    <w:rsid w:val="00DA44AF"/>
    <w:rsid w:val="00DA49BD"/>
    <w:rsid w:val="00DA4BAE"/>
    <w:rsid w:val="00DA57C1"/>
    <w:rsid w:val="00DA5AC7"/>
    <w:rsid w:val="00DA5C96"/>
    <w:rsid w:val="00DA6058"/>
    <w:rsid w:val="00DA6883"/>
    <w:rsid w:val="00DA7522"/>
    <w:rsid w:val="00DA777D"/>
    <w:rsid w:val="00DB0325"/>
    <w:rsid w:val="00DB1CE9"/>
    <w:rsid w:val="00DB1CFE"/>
    <w:rsid w:val="00DB2557"/>
    <w:rsid w:val="00DB271C"/>
    <w:rsid w:val="00DB29EE"/>
    <w:rsid w:val="00DB36A7"/>
    <w:rsid w:val="00DB3FF0"/>
    <w:rsid w:val="00DB438B"/>
    <w:rsid w:val="00DB476D"/>
    <w:rsid w:val="00DB49BC"/>
    <w:rsid w:val="00DB5476"/>
    <w:rsid w:val="00DB5510"/>
    <w:rsid w:val="00DB57EE"/>
    <w:rsid w:val="00DB6934"/>
    <w:rsid w:val="00DB6FA2"/>
    <w:rsid w:val="00DB7844"/>
    <w:rsid w:val="00DC0199"/>
    <w:rsid w:val="00DC06DD"/>
    <w:rsid w:val="00DC1352"/>
    <w:rsid w:val="00DC2153"/>
    <w:rsid w:val="00DC2CAA"/>
    <w:rsid w:val="00DC35C4"/>
    <w:rsid w:val="00DC3C57"/>
    <w:rsid w:val="00DC3DAD"/>
    <w:rsid w:val="00DC4556"/>
    <w:rsid w:val="00DC4615"/>
    <w:rsid w:val="00DC47E7"/>
    <w:rsid w:val="00DC54BC"/>
    <w:rsid w:val="00DC5835"/>
    <w:rsid w:val="00DC7055"/>
    <w:rsid w:val="00DC759E"/>
    <w:rsid w:val="00DC7995"/>
    <w:rsid w:val="00DC7E40"/>
    <w:rsid w:val="00DD0419"/>
    <w:rsid w:val="00DD06E5"/>
    <w:rsid w:val="00DD098A"/>
    <w:rsid w:val="00DD0E79"/>
    <w:rsid w:val="00DD0F33"/>
    <w:rsid w:val="00DD15EF"/>
    <w:rsid w:val="00DD187C"/>
    <w:rsid w:val="00DD196B"/>
    <w:rsid w:val="00DD1B50"/>
    <w:rsid w:val="00DD1BA3"/>
    <w:rsid w:val="00DD2A73"/>
    <w:rsid w:val="00DD32A4"/>
    <w:rsid w:val="00DD36D5"/>
    <w:rsid w:val="00DD3D1D"/>
    <w:rsid w:val="00DD3E37"/>
    <w:rsid w:val="00DD3E74"/>
    <w:rsid w:val="00DD4036"/>
    <w:rsid w:val="00DD513A"/>
    <w:rsid w:val="00DD51B3"/>
    <w:rsid w:val="00DD63D0"/>
    <w:rsid w:val="00DD6A0A"/>
    <w:rsid w:val="00DD6AC9"/>
    <w:rsid w:val="00DD74A9"/>
    <w:rsid w:val="00DD764A"/>
    <w:rsid w:val="00DE0019"/>
    <w:rsid w:val="00DE1533"/>
    <w:rsid w:val="00DE1695"/>
    <w:rsid w:val="00DE1A0A"/>
    <w:rsid w:val="00DE1B97"/>
    <w:rsid w:val="00DE2561"/>
    <w:rsid w:val="00DE35AB"/>
    <w:rsid w:val="00DE361C"/>
    <w:rsid w:val="00DE3B6E"/>
    <w:rsid w:val="00DE3C7F"/>
    <w:rsid w:val="00DE40A0"/>
    <w:rsid w:val="00DE48BB"/>
    <w:rsid w:val="00DE4A1B"/>
    <w:rsid w:val="00DE5032"/>
    <w:rsid w:val="00DE5515"/>
    <w:rsid w:val="00DE5F25"/>
    <w:rsid w:val="00DE6B43"/>
    <w:rsid w:val="00DE6C8A"/>
    <w:rsid w:val="00DE7E32"/>
    <w:rsid w:val="00DF037E"/>
    <w:rsid w:val="00DF0AD0"/>
    <w:rsid w:val="00DF0B4E"/>
    <w:rsid w:val="00DF1412"/>
    <w:rsid w:val="00DF1DA6"/>
    <w:rsid w:val="00DF1DDD"/>
    <w:rsid w:val="00DF2BF8"/>
    <w:rsid w:val="00DF357E"/>
    <w:rsid w:val="00DF36F2"/>
    <w:rsid w:val="00DF42EF"/>
    <w:rsid w:val="00DF4734"/>
    <w:rsid w:val="00DF5050"/>
    <w:rsid w:val="00DF5439"/>
    <w:rsid w:val="00DF553F"/>
    <w:rsid w:val="00DF609F"/>
    <w:rsid w:val="00DF6543"/>
    <w:rsid w:val="00DF66E2"/>
    <w:rsid w:val="00DF66F5"/>
    <w:rsid w:val="00DF7168"/>
    <w:rsid w:val="00DF717A"/>
    <w:rsid w:val="00DF74C8"/>
    <w:rsid w:val="00DF774F"/>
    <w:rsid w:val="00DF7D55"/>
    <w:rsid w:val="00DF7DF6"/>
    <w:rsid w:val="00E00826"/>
    <w:rsid w:val="00E0095F"/>
    <w:rsid w:val="00E00BF7"/>
    <w:rsid w:val="00E01000"/>
    <w:rsid w:val="00E014D5"/>
    <w:rsid w:val="00E02840"/>
    <w:rsid w:val="00E02A9F"/>
    <w:rsid w:val="00E02ACB"/>
    <w:rsid w:val="00E02E07"/>
    <w:rsid w:val="00E02F7F"/>
    <w:rsid w:val="00E0333A"/>
    <w:rsid w:val="00E037BA"/>
    <w:rsid w:val="00E03A7C"/>
    <w:rsid w:val="00E03F54"/>
    <w:rsid w:val="00E04DA2"/>
    <w:rsid w:val="00E05E69"/>
    <w:rsid w:val="00E06250"/>
    <w:rsid w:val="00E10022"/>
    <w:rsid w:val="00E105F5"/>
    <w:rsid w:val="00E107D9"/>
    <w:rsid w:val="00E10F99"/>
    <w:rsid w:val="00E1157B"/>
    <w:rsid w:val="00E118D7"/>
    <w:rsid w:val="00E122FE"/>
    <w:rsid w:val="00E1236B"/>
    <w:rsid w:val="00E12D74"/>
    <w:rsid w:val="00E136C4"/>
    <w:rsid w:val="00E137ED"/>
    <w:rsid w:val="00E1380E"/>
    <w:rsid w:val="00E13991"/>
    <w:rsid w:val="00E142B7"/>
    <w:rsid w:val="00E14D22"/>
    <w:rsid w:val="00E14F4E"/>
    <w:rsid w:val="00E15483"/>
    <w:rsid w:val="00E16190"/>
    <w:rsid w:val="00E167B7"/>
    <w:rsid w:val="00E1715A"/>
    <w:rsid w:val="00E17958"/>
    <w:rsid w:val="00E17A87"/>
    <w:rsid w:val="00E17D2D"/>
    <w:rsid w:val="00E20845"/>
    <w:rsid w:val="00E20B3F"/>
    <w:rsid w:val="00E20BF9"/>
    <w:rsid w:val="00E2139C"/>
    <w:rsid w:val="00E21AE5"/>
    <w:rsid w:val="00E220DC"/>
    <w:rsid w:val="00E22524"/>
    <w:rsid w:val="00E2283B"/>
    <w:rsid w:val="00E22FB2"/>
    <w:rsid w:val="00E232F0"/>
    <w:rsid w:val="00E2414A"/>
    <w:rsid w:val="00E259C6"/>
    <w:rsid w:val="00E25A76"/>
    <w:rsid w:val="00E26CA6"/>
    <w:rsid w:val="00E27676"/>
    <w:rsid w:val="00E2797E"/>
    <w:rsid w:val="00E27BC2"/>
    <w:rsid w:val="00E27C28"/>
    <w:rsid w:val="00E27C70"/>
    <w:rsid w:val="00E30163"/>
    <w:rsid w:val="00E31445"/>
    <w:rsid w:val="00E319C0"/>
    <w:rsid w:val="00E329A8"/>
    <w:rsid w:val="00E32C3F"/>
    <w:rsid w:val="00E32D2A"/>
    <w:rsid w:val="00E32E12"/>
    <w:rsid w:val="00E33379"/>
    <w:rsid w:val="00E338B4"/>
    <w:rsid w:val="00E33955"/>
    <w:rsid w:val="00E33F6C"/>
    <w:rsid w:val="00E34A52"/>
    <w:rsid w:val="00E3539B"/>
    <w:rsid w:val="00E35813"/>
    <w:rsid w:val="00E361DB"/>
    <w:rsid w:val="00E36C4E"/>
    <w:rsid w:val="00E37194"/>
    <w:rsid w:val="00E37CB9"/>
    <w:rsid w:val="00E4004C"/>
    <w:rsid w:val="00E40814"/>
    <w:rsid w:val="00E4087C"/>
    <w:rsid w:val="00E40A2D"/>
    <w:rsid w:val="00E40F08"/>
    <w:rsid w:val="00E40F41"/>
    <w:rsid w:val="00E411F0"/>
    <w:rsid w:val="00E41993"/>
    <w:rsid w:val="00E42545"/>
    <w:rsid w:val="00E427D7"/>
    <w:rsid w:val="00E43552"/>
    <w:rsid w:val="00E43A8E"/>
    <w:rsid w:val="00E43D1B"/>
    <w:rsid w:val="00E43EBC"/>
    <w:rsid w:val="00E44CCC"/>
    <w:rsid w:val="00E45578"/>
    <w:rsid w:val="00E4574C"/>
    <w:rsid w:val="00E46445"/>
    <w:rsid w:val="00E47060"/>
    <w:rsid w:val="00E47249"/>
    <w:rsid w:val="00E473D2"/>
    <w:rsid w:val="00E475C3"/>
    <w:rsid w:val="00E50B0C"/>
    <w:rsid w:val="00E511B7"/>
    <w:rsid w:val="00E515D2"/>
    <w:rsid w:val="00E515EC"/>
    <w:rsid w:val="00E51735"/>
    <w:rsid w:val="00E51F70"/>
    <w:rsid w:val="00E524FD"/>
    <w:rsid w:val="00E524FF"/>
    <w:rsid w:val="00E53242"/>
    <w:rsid w:val="00E53837"/>
    <w:rsid w:val="00E53E28"/>
    <w:rsid w:val="00E54A84"/>
    <w:rsid w:val="00E55317"/>
    <w:rsid w:val="00E558EF"/>
    <w:rsid w:val="00E560F2"/>
    <w:rsid w:val="00E56556"/>
    <w:rsid w:val="00E56B20"/>
    <w:rsid w:val="00E56F92"/>
    <w:rsid w:val="00E571B9"/>
    <w:rsid w:val="00E5733A"/>
    <w:rsid w:val="00E574E0"/>
    <w:rsid w:val="00E575CE"/>
    <w:rsid w:val="00E6028A"/>
    <w:rsid w:val="00E60321"/>
    <w:rsid w:val="00E6034B"/>
    <w:rsid w:val="00E604B8"/>
    <w:rsid w:val="00E609A7"/>
    <w:rsid w:val="00E609FD"/>
    <w:rsid w:val="00E60CDA"/>
    <w:rsid w:val="00E60F6F"/>
    <w:rsid w:val="00E61131"/>
    <w:rsid w:val="00E62E27"/>
    <w:rsid w:val="00E6336E"/>
    <w:rsid w:val="00E634A6"/>
    <w:rsid w:val="00E63F19"/>
    <w:rsid w:val="00E63F5E"/>
    <w:rsid w:val="00E641F8"/>
    <w:rsid w:val="00E64BCE"/>
    <w:rsid w:val="00E64F6D"/>
    <w:rsid w:val="00E65035"/>
    <w:rsid w:val="00E65C39"/>
    <w:rsid w:val="00E65DAB"/>
    <w:rsid w:val="00E661E3"/>
    <w:rsid w:val="00E66880"/>
    <w:rsid w:val="00E66980"/>
    <w:rsid w:val="00E66AB7"/>
    <w:rsid w:val="00E7076B"/>
    <w:rsid w:val="00E70830"/>
    <w:rsid w:val="00E70D28"/>
    <w:rsid w:val="00E70DC5"/>
    <w:rsid w:val="00E71040"/>
    <w:rsid w:val="00E7195E"/>
    <w:rsid w:val="00E71B5C"/>
    <w:rsid w:val="00E71CDC"/>
    <w:rsid w:val="00E71D04"/>
    <w:rsid w:val="00E71E0B"/>
    <w:rsid w:val="00E72918"/>
    <w:rsid w:val="00E72FA3"/>
    <w:rsid w:val="00E73D85"/>
    <w:rsid w:val="00E74095"/>
    <w:rsid w:val="00E74627"/>
    <w:rsid w:val="00E74EE2"/>
    <w:rsid w:val="00E7506A"/>
    <w:rsid w:val="00E752E4"/>
    <w:rsid w:val="00E75519"/>
    <w:rsid w:val="00E7565E"/>
    <w:rsid w:val="00E77846"/>
    <w:rsid w:val="00E77DFF"/>
    <w:rsid w:val="00E80470"/>
    <w:rsid w:val="00E8080E"/>
    <w:rsid w:val="00E808EA"/>
    <w:rsid w:val="00E80A57"/>
    <w:rsid w:val="00E81023"/>
    <w:rsid w:val="00E81270"/>
    <w:rsid w:val="00E81738"/>
    <w:rsid w:val="00E82347"/>
    <w:rsid w:val="00E82A2D"/>
    <w:rsid w:val="00E83707"/>
    <w:rsid w:val="00E837A3"/>
    <w:rsid w:val="00E83A49"/>
    <w:rsid w:val="00E83A97"/>
    <w:rsid w:val="00E83CF6"/>
    <w:rsid w:val="00E8426E"/>
    <w:rsid w:val="00E843B0"/>
    <w:rsid w:val="00E8457C"/>
    <w:rsid w:val="00E86AE2"/>
    <w:rsid w:val="00E873C7"/>
    <w:rsid w:val="00E87932"/>
    <w:rsid w:val="00E903EB"/>
    <w:rsid w:val="00E921FA"/>
    <w:rsid w:val="00E9264E"/>
    <w:rsid w:val="00E927DB"/>
    <w:rsid w:val="00E92C1D"/>
    <w:rsid w:val="00E9450A"/>
    <w:rsid w:val="00E94EFC"/>
    <w:rsid w:val="00E95987"/>
    <w:rsid w:val="00E95AE9"/>
    <w:rsid w:val="00E96801"/>
    <w:rsid w:val="00E96AD8"/>
    <w:rsid w:val="00E97286"/>
    <w:rsid w:val="00EA0124"/>
    <w:rsid w:val="00EA071C"/>
    <w:rsid w:val="00EA1283"/>
    <w:rsid w:val="00EA1D9F"/>
    <w:rsid w:val="00EA2614"/>
    <w:rsid w:val="00EA2660"/>
    <w:rsid w:val="00EA2769"/>
    <w:rsid w:val="00EA30F0"/>
    <w:rsid w:val="00EA368D"/>
    <w:rsid w:val="00EA4ECA"/>
    <w:rsid w:val="00EA5C0A"/>
    <w:rsid w:val="00EA652D"/>
    <w:rsid w:val="00EA6542"/>
    <w:rsid w:val="00EA6EF1"/>
    <w:rsid w:val="00EA743C"/>
    <w:rsid w:val="00EA7889"/>
    <w:rsid w:val="00EA7BE7"/>
    <w:rsid w:val="00EB06C1"/>
    <w:rsid w:val="00EB0798"/>
    <w:rsid w:val="00EB0DA1"/>
    <w:rsid w:val="00EB148F"/>
    <w:rsid w:val="00EB1775"/>
    <w:rsid w:val="00EB2875"/>
    <w:rsid w:val="00EB32AB"/>
    <w:rsid w:val="00EB33BD"/>
    <w:rsid w:val="00EB441D"/>
    <w:rsid w:val="00EB4F29"/>
    <w:rsid w:val="00EB4F93"/>
    <w:rsid w:val="00EB6E39"/>
    <w:rsid w:val="00EB6E5E"/>
    <w:rsid w:val="00EB7604"/>
    <w:rsid w:val="00EB7ACC"/>
    <w:rsid w:val="00EB7ACE"/>
    <w:rsid w:val="00EB7E33"/>
    <w:rsid w:val="00EB7E88"/>
    <w:rsid w:val="00EC0528"/>
    <w:rsid w:val="00EC08C7"/>
    <w:rsid w:val="00EC0A93"/>
    <w:rsid w:val="00EC0BB8"/>
    <w:rsid w:val="00EC1013"/>
    <w:rsid w:val="00EC106E"/>
    <w:rsid w:val="00EC17CA"/>
    <w:rsid w:val="00EC1D97"/>
    <w:rsid w:val="00EC2A7A"/>
    <w:rsid w:val="00EC4057"/>
    <w:rsid w:val="00EC44C8"/>
    <w:rsid w:val="00EC57ED"/>
    <w:rsid w:val="00EC5EDE"/>
    <w:rsid w:val="00EC60B6"/>
    <w:rsid w:val="00EC60D5"/>
    <w:rsid w:val="00EC6163"/>
    <w:rsid w:val="00EC6389"/>
    <w:rsid w:val="00EC6F51"/>
    <w:rsid w:val="00EC71CA"/>
    <w:rsid w:val="00EC7416"/>
    <w:rsid w:val="00EC7488"/>
    <w:rsid w:val="00EC7AC3"/>
    <w:rsid w:val="00ED03A8"/>
    <w:rsid w:val="00ED09D3"/>
    <w:rsid w:val="00ED1557"/>
    <w:rsid w:val="00ED1674"/>
    <w:rsid w:val="00ED1BBF"/>
    <w:rsid w:val="00ED1F76"/>
    <w:rsid w:val="00ED2197"/>
    <w:rsid w:val="00ED42EE"/>
    <w:rsid w:val="00ED43BB"/>
    <w:rsid w:val="00ED4814"/>
    <w:rsid w:val="00ED66C4"/>
    <w:rsid w:val="00ED69BA"/>
    <w:rsid w:val="00ED6A95"/>
    <w:rsid w:val="00ED76D8"/>
    <w:rsid w:val="00ED7D71"/>
    <w:rsid w:val="00EE02D0"/>
    <w:rsid w:val="00EE1194"/>
    <w:rsid w:val="00EE17FB"/>
    <w:rsid w:val="00EE322E"/>
    <w:rsid w:val="00EE39D7"/>
    <w:rsid w:val="00EE3B50"/>
    <w:rsid w:val="00EE3B5D"/>
    <w:rsid w:val="00EE3BB5"/>
    <w:rsid w:val="00EE3D84"/>
    <w:rsid w:val="00EE450C"/>
    <w:rsid w:val="00EE4904"/>
    <w:rsid w:val="00EE4F68"/>
    <w:rsid w:val="00EE5245"/>
    <w:rsid w:val="00EE6918"/>
    <w:rsid w:val="00EE6B16"/>
    <w:rsid w:val="00EE6EB6"/>
    <w:rsid w:val="00EE70AC"/>
    <w:rsid w:val="00EE715F"/>
    <w:rsid w:val="00EE73D5"/>
    <w:rsid w:val="00EE7854"/>
    <w:rsid w:val="00EF047C"/>
    <w:rsid w:val="00EF04BB"/>
    <w:rsid w:val="00EF1103"/>
    <w:rsid w:val="00EF1703"/>
    <w:rsid w:val="00EF1A02"/>
    <w:rsid w:val="00EF1B43"/>
    <w:rsid w:val="00EF1B56"/>
    <w:rsid w:val="00EF2221"/>
    <w:rsid w:val="00EF23B2"/>
    <w:rsid w:val="00EF30CC"/>
    <w:rsid w:val="00EF3B61"/>
    <w:rsid w:val="00EF3EA9"/>
    <w:rsid w:val="00EF4430"/>
    <w:rsid w:val="00EF5186"/>
    <w:rsid w:val="00EF6041"/>
    <w:rsid w:val="00EF64DA"/>
    <w:rsid w:val="00EF67B9"/>
    <w:rsid w:val="00EF6B89"/>
    <w:rsid w:val="00EF6E59"/>
    <w:rsid w:val="00EF6E90"/>
    <w:rsid w:val="00EF6F75"/>
    <w:rsid w:val="00EF73A2"/>
    <w:rsid w:val="00EF7968"/>
    <w:rsid w:val="00EF7A6E"/>
    <w:rsid w:val="00EF7A81"/>
    <w:rsid w:val="00EF7BE2"/>
    <w:rsid w:val="00F00411"/>
    <w:rsid w:val="00F010C9"/>
    <w:rsid w:val="00F01355"/>
    <w:rsid w:val="00F017FD"/>
    <w:rsid w:val="00F01901"/>
    <w:rsid w:val="00F01AF6"/>
    <w:rsid w:val="00F02289"/>
    <w:rsid w:val="00F0282B"/>
    <w:rsid w:val="00F02A9A"/>
    <w:rsid w:val="00F033E7"/>
    <w:rsid w:val="00F0385B"/>
    <w:rsid w:val="00F041B6"/>
    <w:rsid w:val="00F04424"/>
    <w:rsid w:val="00F05965"/>
    <w:rsid w:val="00F05FC4"/>
    <w:rsid w:val="00F06424"/>
    <w:rsid w:val="00F064ED"/>
    <w:rsid w:val="00F06F7E"/>
    <w:rsid w:val="00F07780"/>
    <w:rsid w:val="00F077E6"/>
    <w:rsid w:val="00F108AB"/>
    <w:rsid w:val="00F11339"/>
    <w:rsid w:val="00F11441"/>
    <w:rsid w:val="00F121F2"/>
    <w:rsid w:val="00F12289"/>
    <w:rsid w:val="00F12307"/>
    <w:rsid w:val="00F12906"/>
    <w:rsid w:val="00F12A86"/>
    <w:rsid w:val="00F12B13"/>
    <w:rsid w:val="00F12CA8"/>
    <w:rsid w:val="00F13DFE"/>
    <w:rsid w:val="00F140F7"/>
    <w:rsid w:val="00F141B0"/>
    <w:rsid w:val="00F141F0"/>
    <w:rsid w:val="00F14358"/>
    <w:rsid w:val="00F1486A"/>
    <w:rsid w:val="00F149CD"/>
    <w:rsid w:val="00F15770"/>
    <w:rsid w:val="00F15DCA"/>
    <w:rsid w:val="00F16159"/>
    <w:rsid w:val="00F1722E"/>
    <w:rsid w:val="00F17732"/>
    <w:rsid w:val="00F200E5"/>
    <w:rsid w:val="00F2036D"/>
    <w:rsid w:val="00F20CAC"/>
    <w:rsid w:val="00F21268"/>
    <w:rsid w:val="00F21F00"/>
    <w:rsid w:val="00F22142"/>
    <w:rsid w:val="00F22F3C"/>
    <w:rsid w:val="00F22F7D"/>
    <w:rsid w:val="00F2320B"/>
    <w:rsid w:val="00F232CF"/>
    <w:rsid w:val="00F235B2"/>
    <w:rsid w:val="00F23BEC"/>
    <w:rsid w:val="00F2425A"/>
    <w:rsid w:val="00F24AE5"/>
    <w:rsid w:val="00F250CB"/>
    <w:rsid w:val="00F251B6"/>
    <w:rsid w:val="00F251F9"/>
    <w:rsid w:val="00F25570"/>
    <w:rsid w:val="00F25C24"/>
    <w:rsid w:val="00F26001"/>
    <w:rsid w:val="00F26DE4"/>
    <w:rsid w:val="00F27540"/>
    <w:rsid w:val="00F27728"/>
    <w:rsid w:val="00F27D14"/>
    <w:rsid w:val="00F3030B"/>
    <w:rsid w:val="00F30D1B"/>
    <w:rsid w:val="00F3130A"/>
    <w:rsid w:val="00F32580"/>
    <w:rsid w:val="00F32E22"/>
    <w:rsid w:val="00F3481E"/>
    <w:rsid w:val="00F34A20"/>
    <w:rsid w:val="00F34EED"/>
    <w:rsid w:val="00F35AE8"/>
    <w:rsid w:val="00F364F3"/>
    <w:rsid w:val="00F36764"/>
    <w:rsid w:val="00F375E1"/>
    <w:rsid w:val="00F37997"/>
    <w:rsid w:val="00F37B1B"/>
    <w:rsid w:val="00F37B85"/>
    <w:rsid w:val="00F37FB0"/>
    <w:rsid w:val="00F40070"/>
    <w:rsid w:val="00F40E50"/>
    <w:rsid w:val="00F40E80"/>
    <w:rsid w:val="00F40F7C"/>
    <w:rsid w:val="00F41162"/>
    <w:rsid w:val="00F41558"/>
    <w:rsid w:val="00F41C99"/>
    <w:rsid w:val="00F42429"/>
    <w:rsid w:val="00F42923"/>
    <w:rsid w:val="00F43047"/>
    <w:rsid w:val="00F44383"/>
    <w:rsid w:val="00F44525"/>
    <w:rsid w:val="00F44E24"/>
    <w:rsid w:val="00F45AC3"/>
    <w:rsid w:val="00F45B1F"/>
    <w:rsid w:val="00F46311"/>
    <w:rsid w:val="00F46B7F"/>
    <w:rsid w:val="00F46F0A"/>
    <w:rsid w:val="00F473BC"/>
    <w:rsid w:val="00F47E61"/>
    <w:rsid w:val="00F510C0"/>
    <w:rsid w:val="00F514E5"/>
    <w:rsid w:val="00F51F78"/>
    <w:rsid w:val="00F5209F"/>
    <w:rsid w:val="00F523A2"/>
    <w:rsid w:val="00F5293A"/>
    <w:rsid w:val="00F52AC2"/>
    <w:rsid w:val="00F52B0A"/>
    <w:rsid w:val="00F53073"/>
    <w:rsid w:val="00F53D80"/>
    <w:rsid w:val="00F54705"/>
    <w:rsid w:val="00F549B9"/>
    <w:rsid w:val="00F54AD3"/>
    <w:rsid w:val="00F54F51"/>
    <w:rsid w:val="00F55936"/>
    <w:rsid w:val="00F55E96"/>
    <w:rsid w:val="00F55F4B"/>
    <w:rsid w:val="00F56624"/>
    <w:rsid w:val="00F5717B"/>
    <w:rsid w:val="00F5771B"/>
    <w:rsid w:val="00F60264"/>
    <w:rsid w:val="00F60CAA"/>
    <w:rsid w:val="00F60EEE"/>
    <w:rsid w:val="00F60FA5"/>
    <w:rsid w:val="00F6172B"/>
    <w:rsid w:val="00F6261C"/>
    <w:rsid w:val="00F62BC6"/>
    <w:rsid w:val="00F62C28"/>
    <w:rsid w:val="00F62C92"/>
    <w:rsid w:val="00F63B66"/>
    <w:rsid w:val="00F63CA7"/>
    <w:rsid w:val="00F63F99"/>
    <w:rsid w:val="00F64D43"/>
    <w:rsid w:val="00F64F3F"/>
    <w:rsid w:val="00F65238"/>
    <w:rsid w:val="00F65375"/>
    <w:rsid w:val="00F65910"/>
    <w:rsid w:val="00F65C73"/>
    <w:rsid w:val="00F665AB"/>
    <w:rsid w:val="00F6681E"/>
    <w:rsid w:val="00F676EA"/>
    <w:rsid w:val="00F6796C"/>
    <w:rsid w:val="00F67A25"/>
    <w:rsid w:val="00F67AA8"/>
    <w:rsid w:val="00F67C75"/>
    <w:rsid w:val="00F67E39"/>
    <w:rsid w:val="00F701A9"/>
    <w:rsid w:val="00F70E2A"/>
    <w:rsid w:val="00F71DCE"/>
    <w:rsid w:val="00F7265B"/>
    <w:rsid w:val="00F72EB6"/>
    <w:rsid w:val="00F73B26"/>
    <w:rsid w:val="00F73B56"/>
    <w:rsid w:val="00F7407E"/>
    <w:rsid w:val="00F749F6"/>
    <w:rsid w:val="00F74F87"/>
    <w:rsid w:val="00F75405"/>
    <w:rsid w:val="00F754BC"/>
    <w:rsid w:val="00F7607D"/>
    <w:rsid w:val="00F76BE6"/>
    <w:rsid w:val="00F76CEE"/>
    <w:rsid w:val="00F774CE"/>
    <w:rsid w:val="00F7753E"/>
    <w:rsid w:val="00F77B9C"/>
    <w:rsid w:val="00F77BD3"/>
    <w:rsid w:val="00F77F03"/>
    <w:rsid w:val="00F803AD"/>
    <w:rsid w:val="00F80557"/>
    <w:rsid w:val="00F81177"/>
    <w:rsid w:val="00F811F6"/>
    <w:rsid w:val="00F8149E"/>
    <w:rsid w:val="00F817BF"/>
    <w:rsid w:val="00F81FD0"/>
    <w:rsid w:val="00F820EE"/>
    <w:rsid w:val="00F82249"/>
    <w:rsid w:val="00F82908"/>
    <w:rsid w:val="00F82B3C"/>
    <w:rsid w:val="00F83C6D"/>
    <w:rsid w:val="00F83D43"/>
    <w:rsid w:val="00F843C7"/>
    <w:rsid w:val="00F84582"/>
    <w:rsid w:val="00F846AF"/>
    <w:rsid w:val="00F84A06"/>
    <w:rsid w:val="00F85618"/>
    <w:rsid w:val="00F8594D"/>
    <w:rsid w:val="00F86203"/>
    <w:rsid w:val="00F863C2"/>
    <w:rsid w:val="00F87430"/>
    <w:rsid w:val="00F87873"/>
    <w:rsid w:val="00F87C72"/>
    <w:rsid w:val="00F87CE9"/>
    <w:rsid w:val="00F9052A"/>
    <w:rsid w:val="00F90604"/>
    <w:rsid w:val="00F907E4"/>
    <w:rsid w:val="00F90959"/>
    <w:rsid w:val="00F90DAC"/>
    <w:rsid w:val="00F91E52"/>
    <w:rsid w:val="00F9265B"/>
    <w:rsid w:val="00F92683"/>
    <w:rsid w:val="00F93109"/>
    <w:rsid w:val="00F935D9"/>
    <w:rsid w:val="00F9402D"/>
    <w:rsid w:val="00F947B9"/>
    <w:rsid w:val="00F948C3"/>
    <w:rsid w:val="00F94A34"/>
    <w:rsid w:val="00F95382"/>
    <w:rsid w:val="00F954FF"/>
    <w:rsid w:val="00F9554D"/>
    <w:rsid w:val="00F95AAF"/>
    <w:rsid w:val="00F95C17"/>
    <w:rsid w:val="00F95FF8"/>
    <w:rsid w:val="00F96155"/>
    <w:rsid w:val="00F96490"/>
    <w:rsid w:val="00F9715A"/>
    <w:rsid w:val="00F97795"/>
    <w:rsid w:val="00FA0326"/>
    <w:rsid w:val="00FA03FA"/>
    <w:rsid w:val="00FA05A4"/>
    <w:rsid w:val="00FA09E9"/>
    <w:rsid w:val="00FA0AD4"/>
    <w:rsid w:val="00FA1DAC"/>
    <w:rsid w:val="00FA206C"/>
    <w:rsid w:val="00FA36DC"/>
    <w:rsid w:val="00FA3D50"/>
    <w:rsid w:val="00FA3DC3"/>
    <w:rsid w:val="00FA4633"/>
    <w:rsid w:val="00FA4654"/>
    <w:rsid w:val="00FA51B6"/>
    <w:rsid w:val="00FA5299"/>
    <w:rsid w:val="00FA5A28"/>
    <w:rsid w:val="00FA6143"/>
    <w:rsid w:val="00FA61CF"/>
    <w:rsid w:val="00FA64D8"/>
    <w:rsid w:val="00FA66AC"/>
    <w:rsid w:val="00FA688A"/>
    <w:rsid w:val="00FA7095"/>
    <w:rsid w:val="00FA7375"/>
    <w:rsid w:val="00FB0872"/>
    <w:rsid w:val="00FB112E"/>
    <w:rsid w:val="00FB13BF"/>
    <w:rsid w:val="00FB14BE"/>
    <w:rsid w:val="00FB191D"/>
    <w:rsid w:val="00FB1922"/>
    <w:rsid w:val="00FB2196"/>
    <w:rsid w:val="00FB26DE"/>
    <w:rsid w:val="00FB299E"/>
    <w:rsid w:val="00FB29E0"/>
    <w:rsid w:val="00FB3129"/>
    <w:rsid w:val="00FB31E1"/>
    <w:rsid w:val="00FB3E81"/>
    <w:rsid w:val="00FB4174"/>
    <w:rsid w:val="00FB42C7"/>
    <w:rsid w:val="00FB48DC"/>
    <w:rsid w:val="00FB4991"/>
    <w:rsid w:val="00FB4F18"/>
    <w:rsid w:val="00FB51D7"/>
    <w:rsid w:val="00FB5708"/>
    <w:rsid w:val="00FB5A73"/>
    <w:rsid w:val="00FB5F44"/>
    <w:rsid w:val="00FB6365"/>
    <w:rsid w:val="00FB66B7"/>
    <w:rsid w:val="00FB6DA5"/>
    <w:rsid w:val="00FB755A"/>
    <w:rsid w:val="00FB7A94"/>
    <w:rsid w:val="00FB7A99"/>
    <w:rsid w:val="00FC0022"/>
    <w:rsid w:val="00FC0D2C"/>
    <w:rsid w:val="00FC0F68"/>
    <w:rsid w:val="00FC0F75"/>
    <w:rsid w:val="00FC100A"/>
    <w:rsid w:val="00FC26C3"/>
    <w:rsid w:val="00FC2954"/>
    <w:rsid w:val="00FC474F"/>
    <w:rsid w:val="00FC4A49"/>
    <w:rsid w:val="00FC517A"/>
    <w:rsid w:val="00FC5EFF"/>
    <w:rsid w:val="00FC6276"/>
    <w:rsid w:val="00FC6412"/>
    <w:rsid w:val="00FC7301"/>
    <w:rsid w:val="00FC73AD"/>
    <w:rsid w:val="00FC7917"/>
    <w:rsid w:val="00FD09EB"/>
    <w:rsid w:val="00FD1299"/>
    <w:rsid w:val="00FD1304"/>
    <w:rsid w:val="00FD1C59"/>
    <w:rsid w:val="00FD25B3"/>
    <w:rsid w:val="00FD2CF5"/>
    <w:rsid w:val="00FD2E2F"/>
    <w:rsid w:val="00FD3085"/>
    <w:rsid w:val="00FD33A3"/>
    <w:rsid w:val="00FD38F6"/>
    <w:rsid w:val="00FD3AAB"/>
    <w:rsid w:val="00FD3B81"/>
    <w:rsid w:val="00FD4B7A"/>
    <w:rsid w:val="00FD6090"/>
    <w:rsid w:val="00FD64AB"/>
    <w:rsid w:val="00FD70E6"/>
    <w:rsid w:val="00FD72E1"/>
    <w:rsid w:val="00FD7BBF"/>
    <w:rsid w:val="00FE0561"/>
    <w:rsid w:val="00FE199C"/>
    <w:rsid w:val="00FE1C2D"/>
    <w:rsid w:val="00FE1F00"/>
    <w:rsid w:val="00FE2B8B"/>
    <w:rsid w:val="00FE36F8"/>
    <w:rsid w:val="00FE3EF0"/>
    <w:rsid w:val="00FE46AD"/>
    <w:rsid w:val="00FE46CC"/>
    <w:rsid w:val="00FE5098"/>
    <w:rsid w:val="00FE50F3"/>
    <w:rsid w:val="00FE54EC"/>
    <w:rsid w:val="00FE5FA6"/>
    <w:rsid w:val="00FE5FD0"/>
    <w:rsid w:val="00FE6166"/>
    <w:rsid w:val="00FE6532"/>
    <w:rsid w:val="00FE7881"/>
    <w:rsid w:val="00FF001D"/>
    <w:rsid w:val="00FF0423"/>
    <w:rsid w:val="00FF1276"/>
    <w:rsid w:val="00FF1992"/>
    <w:rsid w:val="00FF26BC"/>
    <w:rsid w:val="00FF2C8A"/>
    <w:rsid w:val="00FF2D66"/>
    <w:rsid w:val="00FF2D84"/>
    <w:rsid w:val="00FF2F0E"/>
    <w:rsid w:val="00FF329F"/>
    <w:rsid w:val="00FF332B"/>
    <w:rsid w:val="00FF3E64"/>
    <w:rsid w:val="00FF40C2"/>
    <w:rsid w:val="00FF463C"/>
    <w:rsid w:val="00FF49E6"/>
    <w:rsid w:val="00FF52F3"/>
    <w:rsid w:val="00FF5488"/>
    <w:rsid w:val="00FF553A"/>
    <w:rsid w:val="00FF6516"/>
    <w:rsid w:val="00FF652A"/>
    <w:rsid w:val="00FF66A7"/>
    <w:rsid w:val="00FF75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C85D"/>
  <w15:chartTrackingRefBased/>
  <w15:docId w15:val="{7F1C409F-9706-4A77-BA84-D4334907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633"/>
    <w:rPr>
      <w:rFonts w:asciiTheme="majorBidi" w:hAnsiTheme="majorBidi"/>
      <w:sz w:val="22"/>
    </w:rPr>
  </w:style>
  <w:style w:type="paragraph" w:styleId="Heading1">
    <w:name w:val="heading 1"/>
    <w:aliases w:val="PHD HEADING 1"/>
    <w:basedOn w:val="Normal"/>
    <w:next w:val="Normal"/>
    <w:link w:val="Heading1Char"/>
    <w:autoRedefine/>
    <w:uiPriority w:val="9"/>
    <w:qFormat/>
    <w:rsid w:val="00C856E8"/>
    <w:pPr>
      <w:spacing w:line="360" w:lineRule="auto"/>
      <w:jc w:val="both"/>
      <w:outlineLvl w:val="0"/>
    </w:pPr>
    <w:rPr>
      <w:rFonts w:cstheme="majorBidi"/>
      <w:b/>
      <w:iCs/>
      <w:sz w:val="36"/>
      <w:szCs w:val="28"/>
    </w:rPr>
  </w:style>
  <w:style w:type="paragraph" w:styleId="Heading2">
    <w:name w:val="heading 2"/>
    <w:basedOn w:val="Normal"/>
    <w:next w:val="Normal"/>
    <w:link w:val="Heading2Char"/>
    <w:uiPriority w:val="9"/>
    <w:unhideWhenUsed/>
    <w:qFormat/>
    <w:rsid w:val="005D1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2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2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12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12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12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12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12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D HEADING 1 Char"/>
    <w:basedOn w:val="DefaultParagraphFont"/>
    <w:link w:val="Heading1"/>
    <w:uiPriority w:val="9"/>
    <w:rsid w:val="00C856E8"/>
    <w:rPr>
      <w:rFonts w:asciiTheme="majorBidi" w:hAnsiTheme="majorBidi" w:cstheme="majorBidi"/>
      <w:b/>
      <w:iCs/>
      <w:sz w:val="36"/>
      <w:szCs w:val="28"/>
    </w:rPr>
  </w:style>
  <w:style w:type="character" w:customStyle="1" w:styleId="Heading2Char">
    <w:name w:val="Heading 2 Char"/>
    <w:basedOn w:val="DefaultParagraphFont"/>
    <w:link w:val="Heading2"/>
    <w:uiPriority w:val="9"/>
    <w:rsid w:val="005D1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2A4"/>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5D12A4"/>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D12A4"/>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D12A4"/>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D12A4"/>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D12A4"/>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D1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2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2A4"/>
    <w:pPr>
      <w:spacing w:before="160"/>
      <w:jc w:val="center"/>
    </w:pPr>
    <w:rPr>
      <w:i/>
      <w:iCs/>
      <w:color w:val="404040" w:themeColor="text1" w:themeTint="BF"/>
    </w:rPr>
  </w:style>
  <w:style w:type="character" w:customStyle="1" w:styleId="QuoteChar">
    <w:name w:val="Quote Char"/>
    <w:basedOn w:val="DefaultParagraphFont"/>
    <w:link w:val="Quote"/>
    <w:uiPriority w:val="29"/>
    <w:rsid w:val="005D12A4"/>
    <w:rPr>
      <w:rFonts w:asciiTheme="majorBidi" w:hAnsiTheme="majorBidi"/>
      <w:i/>
      <w:iCs/>
      <w:color w:val="404040" w:themeColor="text1" w:themeTint="BF"/>
      <w:sz w:val="22"/>
    </w:rPr>
  </w:style>
  <w:style w:type="paragraph" w:styleId="ListParagraph">
    <w:name w:val="List Paragraph"/>
    <w:basedOn w:val="Normal"/>
    <w:uiPriority w:val="34"/>
    <w:qFormat/>
    <w:rsid w:val="005D12A4"/>
    <w:pPr>
      <w:ind w:left="720"/>
      <w:contextualSpacing/>
    </w:pPr>
  </w:style>
  <w:style w:type="character" w:styleId="IntenseEmphasis">
    <w:name w:val="Intense Emphasis"/>
    <w:basedOn w:val="DefaultParagraphFont"/>
    <w:uiPriority w:val="21"/>
    <w:qFormat/>
    <w:rsid w:val="005D12A4"/>
    <w:rPr>
      <w:i/>
      <w:iCs/>
      <w:color w:val="0F4761" w:themeColor="accent1" w:themeShade="BF"/>
    </w:rPr>
  </w:style>
  <w:style w:type="paragraph" w:styleId="IntenseQuote">
    <w:name w:val="Intense Quote"/>
    <w:basedOn w:val="Normal"/>
    <w:next w:val="Normal"/>
    <w:link w:val="IntenseQuoteChar"/>
    <w:uiPriority w:val="30"/>
    <w:qFormat/>
    <w:rsid w:val="005D1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2A4"/>
    <w:rPr>
      <w:rFonts w:asciiTheme="majorBidi" w:hAnsiTheme="majorBidi"/>
      <w:i/>
      <w:iCs/>
      <w:color w:val="0F4761" w:themeColor="accent1" w:themeShade="BF"/>
      <w:sz w:val="22"/>
    </w:rPr>
  </w:style>
  <w:style w:type="character" w:styleId="IntenseReference">
    <w:name w:val="Intense Reference"/>
    <w:basedOn w:val="DefaultParagraphFont"/>
    <w:uiPriority w:val="32"/>
    <w:qFormat/>
    <w:rsid w:val="005D12A4"/>
    <w:rPr>
      <w:b/>
      <w:bCs/>
      <w:smallCaps/>
      <w:color w:val="0F4761" w:themeColor="accent1" w:themeShade="BF"/>
      <w:spacing w:val="5"/>
    </w:rPr>
  </w:style>
  <w:style w:type="character" w:styleId="CommentReference">
    <w:name w:val="annotation reference"/>
    <w:basedOn w:val="DefaultParagraphFont"/>
    <w:uiPriority w:val="99"/>
    <w:semiHidden/>
    <w:unhideWhenUsed/>
    <w:rsid w:val="00D85713"/>
    <w:rPr>
      <w:sz w:val="16"/>
      <w:szCs w:val="16"/>
    </w:rPr>
  </w:style>
  <w:style w:type="paragraph" w:styleId="CommentText">
    <w:name w:val="annotation text"/>
    <w:basedOn w:val="Normal"/>
    <w:link w:val="CommentTextChar"/>
    <w:uiPriority w:val="99"/>
    <w:unhideWhenUsed/>
    <w:rsid w:val="00D85713"/>
    <w:pPr>
      <w:spacing w:line="240" w:lineRule="auto"/>
    </w:pPr>
    <w:rPr>
      <w:sz w:val="20"/>
      <w:szCs w:val="20"/>
    </w:rPr>
  </w:style>
  <w:style w:type="character" w:customStyle="1" w:styleId="CommentTextChar">
    <w:name w:val="Comment Text Char"/>
    <w:basedOn w:val="DefaultParagraphFont"/>
    <w:link w:val="CommentText"/>
    <w:uiPriority w:val="99"/>
    <w:rsid w:val="00D85713"/>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D85713"/>
    <w:rPr>
      <w:b/>
      <w:bCs/>
    </w:rPr>
  </w:style>
  <w:style w:type="character" w:customStyle="1" w:styleId="CommentSubjectChar">
    <w:name w:val="Comment Subject Char"/>
    <w:basedOn w:val="CommentTextChar"/>
    <w:link w:val="CommentSubject"/>
    <w:uiPriority w:val="99"/>
    <w:semiHidden/>
    <w:rsid w:val="00D85713"/>
    <w:rPr>
      <w:rFonts w:asciiTheme="majorBidi" w:hAnsiTheme="majorBidi"/>
      <w:b/>
      <w:bCs/>
      <w:sz w:val="20"/>
      <w:szCs w:val="20"/>
    </w:rPr>
  </w:style>
  <w:style w:type="character" w:styleId="Hyperlink">
    <w:name w:val="Hyperlink"/>
    <w:basedOn w:val="DefaultParagraphFont"/>
    <w:uiPriority w:val="99"/>
    <w:unhideWhenUsed/>
    <w:rsid w:val="007C4F36"/>
    <w:rPr>
      <w:color w:val="467886" w:themeColor="hyperlink"/>
      <w:u w:val="single"/>
    </w:rPr>
  </w:style>
  <w:style w:type="character" w:styleId="UnresolvedMention">
    <w:name w:val="Unresolved Mention"/>
    <w:basedOn w:val="DefaultParagraphFont"/>
    <w:uiPriority w:val="99"/>
    <w:semiHidden/>
    <w:unhideWhenUsed/>
    <w:rsid w:val="00AA6810"/>
    <w:rPr>
      <w:color w:val="605E5C"/>
      <w:shd w:val="clear" w:color="auto" w:fill="E1DFDD"/>
    </w:rPr>
  </w:style>
  <w:style w:type="paragraph" w:styleId="NormalWeb">
    <w:name w:val="Normal (Web)"/>
    <w:basedOn w:val="Normal"/>
    <w:uiPriority w:val="99"/>
    <w:semiHidden/>
    <w:unhideWhenUsed/>
    <w:rsid w:val="00472F1F"/>
    <w:rPr>
      <w:rFonts w:ascii="Times New Roman" w:hAnsi="Times New Roman" w:cs="Times New Roman"/>
      <w:sz w:val="24"/>
    </w:rPr>
  </w:style>
  <w:style w:type="paragraph" w:styleId="Header">
    <w:name w:val="header"/>
    <w:basedOn w:val="Normal"/>
    <w:link w:val="HeaderChar"/>
    <w:uiPriority w:val="99"/>
    <w:unhideWhenUsed/>
    <w:rsid w:val="00080B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B64"/>
    <w:rPr>
      <w:rFonts w:asciiTheme="majorBidi" w:hAnsiTheme="majorBidi"/>
      <w:sz w:val="22"/>
    </w:rPr>
  </w:style>
  <w:style w:type="paragraph" w:styleId="Footer">
    <w:name w:val="footer"/>
    <w:basedOn w:val="Normal"/>
    <w:link w:val="FooterChar"/>
    <w:uiPriority w:val="99"/>
    <w:unhideWhenUsed/>
    <w:rsid w:val="00080B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B64"/>
    <w:rPr>
      <w:rFonts w:asciiTheme="majorBidi" w:hAnsiTheme="majorBidi"/>
      <w:sz w:val="22"/>
    </w:rPr>
  </w:style>
  <w:style w:type="paragraph" w:customStyle="1" w:styleId="TNRHeading2">
    <w:name w:val="TNR Heading 2"/>
    <w:basedOn w:val="Heading2"/>
    <w:next w:val="Normal"/>
    <w:link w:val="TNRHeading2Char"/>
    <w:autoRedefine/>
    <w:qFormat/>
    <w:rsid w:val="00D75DEC"/>
    <w:rPr>
      <w:rFonts w:asciiTheme="majorBidi" w:hAnsiTheme="majorBidi"/>
      <w:bCs/>
      <w:color w:val="000000" w:themeColor="text1"/>
    </w:rPr>
  </w:style>
  <w:style w:type="character" w:customStyle="1" w:styleId="TNRHeading2Char">
    <w:name w:val="TNR Heading 2 Char"/>
    <w:basedOn w:val="Heading2Char"/>
    <w:link w:val="TNRHeading2"/>
    <w:rsid w:val="00D75DEC"/>
    <w:rPr>
      <w:rFonts w:asciiTheme="majorBidi" w:eastAsiaTheme="majorEastAsia" w:hAnsiTheme="majorBidi" w:cstheme="majorBidi"/>
      <w:bCs/>
      <w:color w:val="000000" w:themeColor="text1"/>
      <w:sz w:val="32"/>
      <w:szCs w:val="32"/>
    </w:rPr>
  </w:style>
  <w:style w:type="paragraph" w:customStyle="1" w:styleId="TNRHeading3">
    <w:name w:val="TNR Heading 3"/>
    <w:basedOn w:val="Heading3"/>
    <w:next w:val="Normal"/>
    <w:link w:val="TNRHeading3Char"/>
    <w:autoRedefine/>
    <w:qFormat/>
    <w:rsid w:val="000D5B0C"/>
    <w:rPr>
      <w:rFonts w:asciiTheme="majorBidi" w:hAnsiTheme="majorBidi"/>
      <w:i/>
      <w:color w:val="000000" w:themeColor="text1"/>
    </w:rPr>
  </w:style>
  <w:style w:type="character" w:customStyle="1" w:styleId="TNRHeading3Char">
    <w:name w:val="TNR Heading 3 Char"/>
    <w:basedOn w:val="DefaultParagraphFont"/>
    <w:link w:val="TNRHeading3"/>
    <w:rsid w:val="000D5B0C"/>
    <w:rPr>
      <w:rFonts w:asciiTheme="majorBidi" w:eastAsiaTheme="majorEastAsia" w:hAnsiTheme="majorBidi" w:cstheme="majorBidi"/>
      <w:i/>
      <w:color w:val="000000" w:themeColor="text1"/>
      <w:sz w:val="28"/>
      <w:szCs w:val="28"/>
    </w:rPr>
  </w:style>
  <w:style w:type="paragraph" w:customStyle="1" w:styleId="TNRHeading1">
    <w:name w:val="TNR Heading 1"/>
    <w:basedOn w:val="Heading1"/>
    <w:next w:val="Normal"/>
    <w:link w:val="TNRHeading1Char"/>
    <w:autoRedefine/>
    <w:qFormat/>
    <w:rsid w:val="004E53E0"/>
    <w:pPr>
      <w:jc w:val="center"/>
    </w:pPr>
    <w:rPr>
      <w:b w:val="0"/>
      <w:bCs/>
    </w:rPr>
  </w:style>
  <w:style w:type="character" w:customStyle="1" w:styleId="TNRHeading1Char">
    <w:name w:val="TNR Heading 1 Char"/>
    <w:basedOn w:val="Heading1Char"/>
    <w:link w:val="TNRHeading1"/>
    <w:rsid w:val="004E53E0"/>
    <w:rPr>
      <w:rFonts w:asciiTheme="majorBidi" w:hAnsiTheme="majorBidi" w:cstheme="majorBidi"/>
      <w:b w:val="0"/>
      <w:bCs/>
      <w:iCs/>
      <w:sz w:val="36"/>
      <w:szCs w:val="28"/>
    </w:rPr>
  </w:style>
  <w:style w:type="paragraph" w:customStyle="1" w:styleId="TNRHeading4">
    <w:name w:val="TNR Heading 4"/>
    <w:basedOn w:val="Heading4"/>
    <w:next w:val="Normal"/>
    <w:link w:val="TNRHeading4Char"/>
    <w:autoRedefine/>
    <w:qFormat/>
    <w:rsid w:val="00B46D80"/>
    <w:rPr>
      <w:rFonts w:asciiTheme="majorBidi" w:hAnsiTheme="majorBidi"/>
      <w:bCs/>
      <w:color w:val="000000" w:themeColor="text1"/>
    </w:rPr>
  </w:style>
  <w:style w:type="character" w:customStyle="1" w:styleId="TNRHeading4Char">
    <w:name w:val="TNR Heading 4 Char"/>
    <w:basedOn w:val="Heading4Char"/>
    <w:link w:val="TNRHeading4"/>
    <w:rsid w:val="00B46D80"/>
    <w:rPr>
      <w:rFonts w:asciiTheme="majorBidi" w:eastAsiaTheme="majorEastAsia" w:hAnsiTheme="majorBidi" w:cstheme="majorBidi"/>
      <w:bCs/>
      <w:i/>
      <w:iCs/>
      <w:color w:val="000000" w:themeColor="text1"/>
      <w:sz w:val="22"/>
    </w:rPr>
  </w:style>
  <w:style w:type="character" w:styleId="FollowedHyperlink">
    <w:name w:val="FollowedHyperlink"/>
    <w:basedOn w:val="DefaultParagraphFont"/>
    <w:uiPriority w:val="99"/>
    <w:semiHidden/>
    <w:unhideWhenUsed/>
    <w:rsid w:val="0037286B"/>
    <w:rPr>
      <w:color w:val="96607D" w:themeColor="followedHyperlink"/>
      <w:u w:val="single"/>
    </w:rPr>
  </w:style>
  <w:style w:type="paragraph" w:styleId="PlainText">
    <w:name w:val="Plain Text"/>
    <w:basedOn w:val="Normal"/>
    <w:link w:val="PlainTextChar"/>
    <w:uiPriority w:val="99"/>
    <w:unhideWhenUsed/>
    <w:rsid w:val="0045151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51515"/>
    <w:rPr>
      <w:rFonts w:ascii="Consolas" w:hAnsi="Consolas"/>
      <w:sz w:val="21"/>
      <w:szCs w:val="21"/>
    </w:rPr>
  </w:style>
  <w:style w:type="paragraph" w:customStyle="1" w:styleId="pf0">
    <w:name w:val="pf0"/>
    <w:basedOn w:val="Normal"/>
    <w:rsid w:val="009103A0"/>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 w:type="character" w:customStyle="1" w:styleId="cf01">
    <w:name w:val="cf01"/>
    <w:basedOn w:val="DefaultParagraphFont"/>
    <w:rsid w:val="009103A0"/>
    <w:rPr>
      <w:rFonts w:ascii="Segoe UI" w:hAnsi="Segoe UI" w:cs="Segoe UI"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307/2205660" TargetMode="External"/><Relationship Id="rId18" Type="http://schemas.openxmlformats.org/officeDocument/2006/relationships/hyperlink" Target="https://doi.org/10.1017/CBO9780511664984" TargetMode="External"/><Relationship Id="rId26" Type="http://schemas.openxmlformats.org/officeDocument/2006/relationships/hyperlink" Target="https://doi.org/10.5399/PJCP.v4i1.2" TargetMode="External"/><Relationship Id="rId3" Type="http://schemas.openxmlformats.org/officeDocument/2006/relationships/settings" Target="settings.xml"/><Relationship Id="rId21" Type="http://schemas.openxmlformats.org/officeDocument/2006/relationships/hyperlink" Target="https://doi.org/10.4324/9781410613912" TargetMode="External"/><Relationship Id="rId7" Type="http://schemas.openxmlformats.org/officeDocument/2006/relationships/footer" Target="footer1.xml"/><Relationship Id="rId12" Type="http://schemas.openxmlformats.org/officeDocument/2006/relationships/hyperlink" Target="https://doi.org/10.1086/217872" TargetMode="External"/><Relationship Id="rId17" Type="http://schemas.openxmlformats.org/officeDocument/2006/relationships/hyperlink" Target="http://archive.org/details/statutesatlargeb02virg" TargetMode="External"/><Relationship Id="rId25" Type="http://schemas.openxmlformats.org/officeDocument/2006/relationships/hyperlink" Target="http://ebookcentral.proquest.com/lib/kcl/detail.action?docID=563920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2307/1341787" TargetMode="External"/><Relationship Id="rId20" Type="http://schemas.openxmlformats.org/officeDocument/2006/relationships/hyperlink" Target="https://www.proquest.com/docview/302880612/citation/FF6BEFBE8E334A6FPQ/1" TargetMode="External"/><Relationship Id="rId29" Type="http://schemas.openxmlformats.org/officeDocument/2006/relationships/hyperlink" Target="https://hdl.handle.net/2027/heb03237.0001.0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jaarel/lfi075" TargetMode="External"/><Relationship Id="rId24" Type="http://schemas.openxmlformats.org/officeDocument/2006/relationships/hyperlink" Target="https://doi.org/10.1080/10999949.2013.803839"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4324/9781315646718" TargetMode="External"/><Relationship Id="rId23" Type="http://schemas.openxmlformats.org/officeDocument/2006/relationships/hyperlink" Target="https://doi.org/10.1016/j.ssmph.2020.100669" TargetMode="External"/><Relationship Id="rId28" Type="http://schemas.openxmlformats.org/officeDocument/2006/relationships/hyperlink" Target="http://ebookcentral.proquest.com/lib/kcl/detail.action?docID=1915862" TargetMode="External"/><Relationship Id="rId10" Type="http://schemas.openxmlformats.org/officeDocument/2006/relationships/hyperlink" Target="https://doi.org/10.1353/soh.2018.0002" TargetMode="External"/><Relationship Id="rId19" Type="http://schemas.openxmlformats.org/officeDocument/2006/relationships/hyperlink" Target="https://doi.org/10.1017/CCO9781139026161.006" TargetMode="External"/><Relationship Id="rId31" Type="http://schemas.openxmlformats.org/officeDocument/2006/relationships/hyperlink" Target="https://doi.org/10.1080/13602009608716338" TargetMode="External"/><Relationship Id="rId4" Type="http://schemas.openxmlformats.org/officeDocument/2006/relationships/webSettings" Target="webSettings.xml"/><Relationship Id="rId9" Type="http://schemas.openxmlformats.org/officeDocument/2006/relationships/hyperlink" Target="https://doi.org/10.2307/1519868" TargetMode="External"/><Relationship Id="rId14" Type="http://schemas.openxmlformats.org/officeDocument/2006/relationships/hyperlink" Target="https://research.ebsco.com/linkprocessor/plink?id=c6939a3a-79cf-3376-92ed-313efd6ae89b" TargetMode="External"/><Relationship Id="rId22" Type="http://schemas.openxmlformats.org/officeDocument/2006/relationships/hyperlink" Target="https://doi.org/10.2307/3041796" TargetMode="External"/><Relationship Id="rId27" Type="http://schemas.openxmlformats.org/officeDocument/2006/relationships/hyperlink" Target="https://www.ciphertheory.net/supremewisdom.pdf" TargetMode="External"/><Relationship Id="rId30" Type="http://schemas.openxmlformats.org/officeDocument/2006/relationships/hyperlink" Target="http://ebookcentral.proquest.com/lib/kcl/detail.action?docID=3300396" TargetMode="External"/><Relationship Id="rId8" Type="http://schemas.openxmlformats.org/officeDocument/2006/relationships/hyperlink" Target="https://doi.org/10.1075/ni.20.1.07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14F56D-E9CB-4965-B4F2-E4376302EE9F}">
  <we:reference id="wa200001524" version="1.0.0.4" store="en-US" storeType="OMEX"/>
  <we:alternateReferences>
    <we:reference id="WA200001524" version="1.0.0.4"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5321</TotalTime>
  <Pages>81</Pages>
  <Words>36032</Words>
  <Characters>205387</Characters>
  <Application>Microsoft Office Word</Application>
  <DocSecurity>0</DocSecurity>
  <Lines>1711</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240938</CharactersWithSpaces>
  <SharedDoc>false</SharedDoc>
  <HLinks>
    <vt:vector size="6" baseType="variant">
      <vt:variant>
        <vt:i4>589925</vt:i4>
      </vt:variant>
      <vt:variant>
        <vt:i4>0</vt:i4>
      </vt:variant>
      <vt:variant>
        <vt:i4>0</vt:i4>
      </vt:variant>
      <vt:variant>
        <vt:i4>5</vt:i4>
      </vt:variant>
      <vt:variant>
        <vt:lpwstr>https://www.google.co.uk/books/edition/A_History_of_Conversion_to_Islam_in_the/WPA0DwAAQBAJ?hl=en&amp;gbpv=1&amp;pg=PP7&amp;printsec=frontcover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Burney</dc:creator>
  <cp:keywords/>
  <dc:description/>
  <cp:lastModifiedBy>Daniyal Burney</cp:lastModifiedBy>
  <cp:revision>4213</cp:revision>
  <dcterms:created xsi:type="dcterms:W3CDTF">2026-05-07T11:57:00Z</dcterms:created>
  <dcterms:modified xsi:type="dcterms:W3CDTF">2026-08-21T11:37:00Z</dcterms:modified>
</cp:coreProperties>
</file>