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5855bdada5540b6d1d94259b9fa7f0f84d0e824"/>
    <w:p>
      <w:pPr>
        <w:pStyle w:val="Heading1"/>
      </w:pPr>
      <w:r>
        <w:t xml:space="preserve">NON-COMPETITION, NON-SOLICITATION, AND CONFIDENTIALITY AGREEMENT</w:t>
      </w:r>
    </w:p>
    <w:p>
      <w:pPr>
        <w:pStyle w:val="FirstParagraph"/>
      </w:pPr>
      <w:r>
        <w:t xml:space="preserve">This Non-Competition, Non-Solicitation, and Confidentiality Agreement (this</w:t>
      </w:r>
      <w:r>
        <w:t xml:space="preserve"> </w:t>
      </w:r>
      <w:r>
        <w:t xml:space="preserve">“Agreement”</w:t>
      </w:r>
      <w:r>
        <w:t xml:space="preserve">) is made and entered into as of September 8, 2022, by and between Ostrander Brand Group LLC, a New York limited liability company with its principal place of business at 212 Varick Street, 6th Floor, New York, New York 10014 (the</w:t>
      </w:r>
      <w:r>
        <w:t xml:space="preserve"> </w:t>
      </w:r>
      <w:r>
        <w:t xml:space="preserve">“Company”</w:t>
      </w:r>
      <w:r>
        <w:t xml:space="preserve">), and Priya Raghunathan, an individual (</w:t>
      </w:r>
      <w:r>
        <w:t xml:space="preserve">“Employee”</w:t>
      </w:r>
      <w:r>
        <w:t xml:space="preserve">).</w:t>
      </w:r>
    </w:p>
    <w:p>
      <w:pPr>
        <w:pStyle w:val="BodyText"/>
      </w:pPr>
      <w:r>
        <w:t xml:space="preserve">WHEREAS, the Company is engaged in the business of developing and marketing cosmetics and personal care brands sold to consumers throughout the United States and, in certain instances, internationally;</w:t>
      </w:r>
    </w:p>
    <w:p>
      <w:pPr>
        <w:pStyle w:val="BodyText"/>
      </w:pPr>
      <w:r>
        <w:t xml:space="preserve">WHEREAS, Employee is being engaged as Vice President, Brand Strategy, a senior executive role in which Employee will have primary responsibility for the Company’s brand positioning, product launch strategy, and its most sensitive commercial relationships, and in which Employee’s judgment, creative direction, and industry relationships will materially affect the Company’s competitive position;</w:t>
      </w:r>
    </w:p>
    <w:p>
      <w:pPr>
        <w:pStyle w:val="BodyText"/>
      </w:pPr>
      <w:r>
        <w:t xml:space="preserve">WHEREAS, the Company considers the services to be performed by Employee in this role to be unique and extraordinary services, not readily replaceable in the market, and the Company would not agree to entrust Employee with the compensation, equity participation, and access to the Company’s most sensitive strategic and customer information described below absent Employee’s agreement to the restrictions in this Agreement; and</w:t>
      </w:r>
    </w:p>
    <w:p>
      <w:pPr>
        <w:pStyle w:val="BodyText"/>
      </w:pPr>
      <w:r>
        <w:t xml:space="preserve">WHEREAS, Employee acknowledges that the Company has built substantial goodwill and confidential business relationships at its own expense, over a period of years, and that Employee’s position gives Employee access to that goodwill and those relationships on a national basis;</w:t>
      </w:r>
    </w:p>
    <w:p>
      <w:pPr>
        <w:pStyle w:val="BodyText"/>
      </w:pPr>
      <w:r>
        <w:t xml:space="preserve">NOW, THEREFORE, in consideration of the foregoing and the mutual covenants set forth below, the parties agree as follows.</w:t>
      </w:r>
    </w:p>
    <w:p>
      <w:pPr>
        <w:pStyle w:val="BodyText"/>
      </w:pPr>
      <w:r>
        <w:rPr>
          <w:b/>
          <w:bCs/>
        </w:rPr>
        <w:t xml:space="preserve">1. Definitions.</w:t>
      </w:r>
    </w:p>
    <w:p>
      <w:pPr>
        <w:numPr>
          <w:ilvl w:val="0"/>
          <w:numId w:val="1001"/>
        </w:numPr>
      </w:pPr>
      <w:r>
        <w:t xml:space="preserve">“Company”</w:t>
      </w:r>
      <w:r>
        <w:t xml:space="preserve"> </w:t>
      </w:r>
      <w:r>
        <w:t xml:space="preserve">means Ostrander Brand Group LLC, together with its subsidiaries and affiliates.</w:t>
      </w:r>
    </w:p>
    <w:p>
      <w:pPr>
        <w:numPr>
          <w:ilvl w:val="0"/>
          <w:numId w:val="1001"/>
        </w:numPr>
      </w:pPr>
      <w:r>
        <w:t xml:space="preserve">“Proprietary Information”</w:t>
      </w:r>
      <w:r>
        <w:t xml:space="preserve"> </w:t>
      </w:r>
      <w:r>
        <w:t xml:space="preserve">has the meaning given to it in Section 5 below.</w:t>
      </w:r>
    </w:p>
    <w:p>
      <w:pPr>
        <w:numPr>
          <w:ilvl w:val="0"/>
          <w:numId w:val="1001"/>
        </w:numPr>
      </w:pPr>
      <w:r>
        <w:t xml:space="preserve">“Restricted Period”</w:t>
      </w:r>
      <w:r>
        <w:t xml:space="preserve"> </w:t>
      </w:r>
      <w:r>
        <w:t xml:space="preserve">means the period of Employee’s employment, plus the eighteen (18) months immediately following termination of that employment for any reason.</w:t>
      </w:r>
    </w:p>
    <w:p>
      <w:pPr>
        <w:numPr>
          <w:ilvl w:val="0"/>
          <w:numId w:val="1001"/>
        </w:numPr>
      </w:pPr>
      <w:r>
        <w:t xml:space="preserve">“Territory”</w:t>
      </w:r>
      <w:r>
        <w:t xml:space="preserve"> </w:t>
      </w:r>
      <w:r>
        <w:t xml:space="preserve">means the United States.</w:t>
      </w:r>
    </w:p>
    <w:p>
      <w:pPr>
        <w:numPr>
          <w:ilvl w:val="0"/>
          <w:numId w:val="1001"/>
        </w:numPr>
      </w:pPr>
      <w:r>
        <w:t xml:space="preserve">“Competing Business”</w:t>
      </w:r>
      <w:r>
        <w:t xml:space="preserve"> </w:t>
      </w:r>
      <w:r>
        <w:t xml:space="preserve">means any person or entity engaged in the development, marketing, distribution, or sale of cosmetics or personal care products that compete with products offered, or under development, by the Company.</w:t>
      </w:r>
    </w:p>
    <w:p>
      <w:pPr>
        <w:pStyle w:val="FirstParagraph"/>
      </w:pPr>
      <w:r>
        <w:rPr>
          <w:b/>
          <w:bCs/>
        </w:rPr>
        <w:t xml:space="preserve">2. Consideration.</w:t>
      </w:r>
    </w:p>
    <w:p>
      <w:pPr>
        <w:pStyle w:val="Compact"/>
        <w:numPr>
          <w:ilvl w:val="0"/>
          <w:numId w:val="1002"/>
        </w:numPr>
      </w:pPr>
      <w:r>
        <w:t xml:space="preserve">In exchange for Employee’s execution of this Agreement, the Company agrees to employ Employee as Vice President, Brand Strategy, with a base salary, annual bonus opportunity, equity participation, and access to the Company’s Proprietary Information and its national customer and retail-partner relationships, all as more particularly described in Employee’s offer letter, and all of which Employee acknowledges is good and valuable consideration for the covenants made by Employee in this Agreement.</w:t>
      </w:r>
    </w:p>
    <w:p>
      <w:pPr>
        <w:pStyle w:val="FirstParagraph"/>
      </w:pPr>
      <w:r>
        <w:rPr>
          <w:b/>
          <w:bCs/>
        </w:rPr>
        <w:t xml:space="preserve">3. Unique and Extraordinary Services.</w:t>
      </w:r>
    </w:p>
    <w:p>
      <w:pPr>
        <w:numPr>
          <w:ilvl w:val="0"/>
          <w:numId w:val="1003"/>
        </w:numPr>
      </w:pPr>
      <w:r>
        <w:t xml:space="preserve">Employee acknowledges and agrees that the services Employee will perform for the Company are unique and extraordinary, that the Company’s willingness to disclose its most sensitive brand strategy, product development, and customer information to Employee is expressly conditioned on Employee’s agreement to the restrictions set forth in this Agreement, and that but for those restrictions the Company would not have engaged Employee in this role or on these terms.</w:t>
      </w:r>
    </w:p>
    <w:p>
      <w:pPr>
        <w:numPr>
          <w:ilvl w:val="0"/>
          <w:numId w:val="1003"/>
        </w:numPr>
      </w:pPr>
      <w:r>
        <w:t xml:space="preserve">Employee further acknowledges that the Company competes for consumer attention and retail placement on a national, rather than local or regional, basis, that Employee’s role requires Employee to direct brand strategy across the Company’s entire United States business, and that a Territory limited to any part of the United States less than the whole would not adequately protect the Company’s legitimate interests in light of the national scope of Employee’s role.</w:t>
      </w:r>
    </w:p>
    <w:p>
      <w:pPr>
        <w:pStyle w:val="FirstParagraph"/>
      </w:pPr>
      <w:r>
        <w:rPr>
          <w:b/>
          <w:bCs/>
        </w:rPr>
        <w:t xml:space="preserve">4. Non-Competition.</w:t>
      </w:r>
    </w:p>
    <w:p>
      <w:pPr>
        <w:numPr>
          <w:ilvl w:val="0"/>
          <w:numId w:val="1004"/>
        </w:numPr>
      </w:pPr>
      <w:r>
        <w:t xml:space="preserve">During the Restricted Period, Employee shall not, directly or indirectly, whether as owner, member, partner, director, officer, employee, consultant, or in any other capacity, provide services to a Competing Business anywhere within the Territory, where those services relate to brand strategy, product positioning, or marketing direction and are the same as or substantially similar to the services Employee provided to the Company.</w:t>
      </w:r>
    </w:p>
    <w:p>
      <w:pPr>
        <w:numPr>
          <w:ilvl w:val="0"/>
          <w:numId w:val="1004"/>
        </w:numPr>
      </w:pPr>
      <w:r>
        <w:t xml:space="preserve">The restriction in subsection (a) applies regardless of whether Employee’s compensation from the Competing Business is tied to the performance of any particular product line, region, or business unit, and regardless of whether Employee’s role with the Competing Business is styled as full-time, part-time, or advisory.</w:t>
      </w:r>
    </w:p>
    <w:p>
      <w:pPr>
        <w:numPr>
          <w:ilvl w:val="0"/>
          <w:numId w:val="1004"/>
        </w:numPr>
      </w:pPr>
      <w:r>
        <w:t xml:space="preserve">Employee acknowledges that, given the national scope of the Company’s business and Employee’s role, a Territory-wide restriction under subsection (a) is reasonable and necessary to protect the Company’s legitimate interests described in Section 3 above.</w:t>
      </w:r>
    </w:p>
    <w:p>
      <w:pPr>
        <w:numPr>
          <w:ilvl w:val="0"/>
          <w:numId w:val="1004"/>
        </w:numPr>
      </w:pPr>
      <w:r>
        <w:t xml:space="preserve">Notwithstanding the foregoing, and without limiting the generality of subsection (a), this Section 4 shall not be construed to prohibit Employee from accepting a position with a Competing Business in a business unit, brand, or product category unrelated to cosmetics or personal care, provided that (i) Employee’s duties in that position do not include brand strategy, product positioning, or marketing direction for any cosmetics or personal care product line of that Competing Business, and (ii) Employee provides the Company not less than thirty (30) days’ prior written notice of the proposed engagement, together with a description of Employee’s anticipated duties, sufficient for the Company to assess compliance with this subsection.</w:t>
      </w:r>
    </w:p>
    <w:p>
      <w:pPr>
        <w:pStyle w:val="FirstParagraph"/>
      </w:pPr>
      <w:r>
        <w:rPr>
          <w:b/>
          <w:bCs/>
        </w:rPr>
        <w:t xml:space="preserve">5. Nondisclosure of Company Information.</w:t>
      </w:r>
    </w:p>
    <w:p>
      <w:pPr>
        <w:numPr>
          <w:ilvl w:val="0"/>
          <w:numId w:val="1005"/>
        </w:numPr>
      </w:pPr>
      <w:r>
        <w:t xml:space="preserve">During employment and at all times thereafter, Employee shall not use, disclose, publish, or make accessible to any third party any Proprietary Information, except to the extent necessary to perform Employee’s assigned duties for the Company or as specifically authorized in writing by an officer of the Company. Proprietary Information includes, without limitation: (i) technical information such as product formulations, engineering data, designs, prototypes, and research results; (ii) business information such as customer and prospect identities and requirements, pricing, margins, supplier terms, and strategic or financial plans; and (iii) any other nonpublic information that the Company treats as confidential.</w:t>
      </w:r>
    </w:p>
    <w:p>
      <w:pPr>
        <w:numPr>
          <w:ilvl w:val="0"/>
          <w:numId w:val="1005"/>
        </w:numPr>
      </w:pPr>
      <w:r>
        <w:t xml:space="preserve">Employee’s obligations under this Section do not apply to information that (i) is or becomes generally known to the public through no fault of Employee, (ii) was lawfully in Employee’s possession before disclosure by the Company, free of any obligation of confidence, or (iii) is required to be disclosed by valid legal process, provided Employee gives the Company prompt notice and a reasonable opportunity to seek a protective order before disclosure occurs.</w:t>
      </w:r>
    </w:p>
    <w:p>
      <w:pPr>
        <w:numPr>
          <w:ilvl w:val="0"/>
          <w:numId w:val="1005"/>
        </w:numPr>
      </w:pPr>
      <w:r>
        <w:t xml:space="preserve">Nothing in this Section limits any protection afforded to trade secrets under applicable law, and as to trade secrets this Section’s restrictions continue for as long as the information remains a trade secret.</w:t>
      </w:r>
    </w:p>
    <w:p>
      <w:pPr>
        <w:pStyle w:val="FirstParagraph"/>
      </w:pPr>
      <w:r>
        <w:rPr>
          <w:b/>
          <w:bCs/>
        </w:rPr>
        <w:t xml:space="preserve">6. Non-Solicitation of Customers.</w:t>
      </w:r>
    </w:p>
    <w:p>
      <w:pPr>
        <w:numPr>
          <w:ilvl w:val="0"/>
          <w:numId w:val="1006"/>
        </w:numPr>
      </w:pPr>
      <w:r>
        <w:t xml:space="preserve">For purposes of this Section,</w:t>
      </w:r>
      <w:r>
        <w:t xml:space="preserve"> </w:t>
      </w:r>
      <w:r>
        <w:t xml:space="preserve">“Restricted Customer”</w:t>
      </w:r>
      <w:r>
        <w:t xml:space="preserve"> </w:t>
      </w:r>
      <w:r>
        <w:t xml:space="preserve">means any person or entity that (i) was a customer of the Company at any time during the twenty-four (24) months immediately preceding the termination of Employee’s employment (the</w:t>
      </w:r>
      <w:r>
        <w:t xml:space="preserve"> </w:t>
      </w:r>
      <w:r>
        <w:t xml:space="preserve">“Lookback Period”</w:t>
      </w:r>
      <w:r>
        <w:t xml:space="preserve">), and (ii) with whom Employee had Material Contact during the Lookback Period.</w:t>
      </w:r>
    </w:p>
    <w:p>
      <w:pPr>
        <w:numPr>
          <w:ilvl w:val="0"/>
          <w:numId w:val="1006"/>
        </w:numPr>
      </w:pPr>
      <w:r>
        <w:t xml:space="preserve">“Material Contact”</w:t>
      </w:r>
      <w:r>
        <w:t xml:space="preserve"> </w:t>
      </w:r>
      <w:r>
        <w:t xml:space="preserve">means contact between Employee and a customer (i) with whom Employee dealt on the Company’s behalf, (ii) whose dealings with the Company were coordinated or supervised by Employee, (iii) about whom Employee obtained Confidential Information in the ordinary course of business as a result of Employee’s association with the Company, or (iv) who received products or services from the Company, the sale or provision of which resulted in compensation, commissions, or earnings for Employee within the Lookback Period.</w:t>
      </w:r>
    </w:p>
    <w:p>
      <w:pPr>
        <w:numPr>
          <w:ilvl w:val="0"/>
          <w:numId w:val="1006"/>
        </w:numPr>
      </w:pPr>
      <w:r>
        <w:t xml:space="preserve">During employment and for a period of eighteen (18) months thereafter, Employee shall not, on behalf of Employee or any other person or entity, solicit, divert, or attempt to solicit or divert the business of any Restricted Customer for the purpose of providing products or services competitive with those offered by the Company during the Lookback Period.</w:t>
      </w:r>
    </w:p>
    <w:p>
      <w:pPr>
        <w:pStyle w:val="FirstParagraph"/>
      </w:pPr>
      <w:r>
        <w:rPr>
          <w:b/>
          <w:bCs/>
        </w:rPr>
        <w:t xml:space="preserve">7. Non-Solicitation of Employees.</w:t>
      </w:r>
    </w:p>
    <w:p>
      <w:pPr>
        <w:numPr>
          <w:ilvl w:val="0"/>
          <w:numId w:val="1007"/>
        </w:numPr>
      </w:pPr>
      <w:r>
        <w:t xml:space="preserve">During employment and for a period of eighteen (18) months following the termination of Employee’s employment for any reason, Employee shall not, directly or indirectly, solicit, recruit, or induce, or attempt to solicit, recruit, or induce, any employee of the Company to terminate his or her employment with the Company, or to accept employment with any other person or entity, nor shall Employee hire or engage, or assist any other person or entity in hiring or engaging, any person who was an employee of the Company at any time during the six (6) months preceding the termination of Employee’s employment.</w:t>
      </w:r>
    </w:p>
    <w:p>
      <w:pPr>
        <w:numPr>
          <w:ilvl w:val="0"/>
          <w:numId w:val="1007"/>
        </w:numPr>
      </w:pPr>
      <w:r>
        <w:t xml:space="preserve">This Section applies only to employees with whom Employee had contact, about whom Employee obtained Confidential Information, or whom Employee supervised, in each case during the last twelve (12) months of Employee’s employment with the Company.</w:t>
      </w:r>
    </w:p>
    <w:p>
      <w:pPr>
        <w:pStyle w:val="FirstParagraph"/>
      </w:pPr>
      <w:r>
        <w:rPr>
          <w:b/>
          <w:bCs/>
        </w:rPr>
        <w:t xml:space="preserve">8. Non-Disparagement.</w:t>
      </w:r>
    </w:p>
    <w:p>
      <w:pPr>
        <w:pStyle w:val="Compact"/>
        <w:numPr>
          <w:ilvl w:val="0"/>
          <w:numId w:val="1008"/>
        </w:numPr>
      </w:pPr>
      <w:r>
        <w:t xml:space="preserve">Employee agrees not to make any statement, oral or written, that disparages or is reasonably likely to damage the business reputation or goodwill of the Company, its products, or its officers, directors, or employees, except as required by law or in connection with a good-faith report to, or testimony before, a governmental agency or in a legal proceeding.</w:t>
      </w:r>
    </w:p>
    <w:p>
      <w:pPr>
        <w:pStyle w:val="FirstParagraph"/>
      </w:pPr>
      <w:r>
        <w:rPr>
          <w:b/>
          <w:bCs/>
        </w:rPr>
        <w:t xml:space="preserve">9. Tolling.</w:t>
      </w:r>
    </w:p>
    <w:p>
      <w:pPr>
        <w:pStyle w:val="Compact"/>
        <w:numPr>
          <w:ilvl w:val="0"/>
          <w:numId w:val="1009"/>
        </w:numPr>
      </w:pPr>
      <w:r>
        <w:t xml:space="preserve">If Employee breaches any restrictive covenant contained in this Agreement, the period of restriction applicable to that covenant shall be extended, or tolled, by the length of time during which Employee was in breach, so that the Company receives the full benefit of the bargained-for restriction. This tolling shall apply automatically and without the need for further action by the Company, and shall run from the date a court of competent jurisdiction determines that a breach occurred, or from the date the breach ceases, whichever the Company elects.</w:t>
      </w:r>
    </w:p>
    <w:p>
      <w:pPr>
        <w:pStyle w:val="FirstParagraph"/>
      </w:pPr>
      <w:r>
        <w:rPr>
          <w:b/>
          <w:bCs/>
        </w:rPr>
        <w:t xml:space="preserve">10. Injunctive Relief.</w:t>
      </w:r>
    </w:p>
    <w:p>
      <w:pPr>
        <w:pStyle w:val="Compact"/>
        <w:numPr>
          <w:ilvl w:val="0"/>
          <w:numId w:val="1010"/>
        </w:numPr>
      </w:pPr>
      <w:r>
        <w:t xml:space="preserve">Employee acknowledges that a breach or threatened breach of the restrictive covenants in this Agreement would cause the Company irreparable harm for which money damages would not be an adequate remedy. Accordingly, in the event of any such breach or threatened breach, the Company shall be entitled, in addition to any other rights and remedies available at law or in equity, to seek temporary, preliminary, and permanent injunctive relief restraining Employee from committing or continuing any such breach, without the necessity of posting a bond or other security and without the necessity of proving actual damages. Nothing in this Section shall be construed to limit the Company’s right to pursue any other remedy available to it, including the recovery of damages.</w:t>
      </w:r>
    </w:p>
    <w:p>
      <w:pPr>
        <w:pStyle w:val="FirstParagraph"/>
      </w:pPr>
      <w:r>
        <w:rPr>
          <w:b/>
          <w:bCs/>
        </w:rPr>
        <w:t xml:space="preserve">11. Attorneys’ Fees.</w:t>
      </w:r>
    </w:p>
    <w:p>
      <w:pPr>
        <w:pStyle w:val="Compact"/>
        <w:numPr>
          <w:ilvl w:val="0"/>
          <w:numId w:val="1011"/>
        </w:numPr>
      </w:pPr>
      <w:r>
        <w:t xml:space="preserve">In any action to enforce the restrictive covenants in this Agreement, the prevailing party shall be entitled to recover its reasonable attorneys’ fees and costs from the non-prevailing party, in addition to any other relief to which it may be entitled.</w:t>
      </w:r>
    </w:p>
    <w:p>
      <w:pPr>
        <w:pStyle w:val="FirstParagraph"/>
      </w:pPr>
      <w:r>
        <w:rPr>
          <w:b/>
          <w:bCs/>
        </w:rPr>
        <w:t xml:space="preserve">12. Return of Company Property.</w:t>
      </w:r>
    </w:p>
    <w:p>
      <w:pPr>
        <w:pStyle w:val="Compact"/>
        <w:numPr>
          <w:ilvl w:val="0"/>
          <w:numId w:val="1012"/>
        </w:numPr>
      </w:pPr>
      <w:r>
        <w:t xml:space="preserve">Upon termination of employment for any reason, or at any earlier time upon the Company’s request, Employee shall promptly return to the Company all property belonging to the Company, including without limitation all documents, files, records, computers, mobile devices, access cards, keys, and any other equipment or materials, together with all copies thereof, in whatever medium, and shall not retain any copies, extracts, or summaries of any of the foregoing.</w:t>
      </w:r>
    </w:p>
    <w:p>
      <w:pPr>
        <w:pStyle w:val="FirstParagraph"/>
      </w:pPr>
      <w:r>
        <w:rPr>
          <w:b/>
          <w:bCs/>
        </w:rPr>
        <w:t xml:space="preserve">13. Severability.</w:t>
      </w:r>
    </w:p>
    <w:p>
      <w:pPr>
        <w:numPr>
          <w:ilvl w:val="0"/>
          <w:numId w:val="1013"/>
        </w:numPr>
      </w:pPr>
      <w:r>
        <w:t xml:space="preserve">If any provision of this Agreement is held by a court of competent jurisdiction to be invalid, illegal, or unenforceable, that provision shall be struck from this Agreement, and the remaining provisions shall continue in full force and effect according to their terms.</w:t>
      </w:r>
    </w:p>
    <w:p>
      <w:pPr>
        <w:numPr>
          <w:ilvl w:val="0"/>
          <w:numId w:val="1013"/>
        </w:numPr>
      </w:pPr>
      <w:r>
        <w:t xml:space="preserve">Partial Enforcement. If any restrictive covenant in this Agreement is found by a court of competent jurisdiction to be broader than necessary, in scope, duration, or geographic area, to protect the Company’s legitimate business interests, the parties intend, and Employee agrees, that the covenant shall nonetheless be enforced by that court to the extent the court deems reasonable, rather than held wholly unenforceable, and that partial enforcement in that manner shall not affect the enforceability of any other provision of this Agreement.</w:t>
      </w:r>
    </w:p>
    <w:p>
      <w:pPr>
        <w:pStyle w:val="FirstParagraph"/>
      </w:pPr>
      <w:r>
        <w:rPr>
          <w:b/>
          <w:bCs/>
        </w:rPr>
        <w:t xml:space="preserve">14. Governing Law.</w:t>
      </w:r>
    </w:p>
    <w:p>
      <w:pPr>
        <w:pStyle w:val="Compact"/>
        <w:numPr>
          <w:ilvl w:val="0"/>
          <w:numId w:val="1014"/>
        </w:numPr>
      </w:pPr>
      <w:r>
        <w:t xml:space="preserve">This Agreement shall be governed by, and construed in accordance with, the laws of the State of New York, without regard to its conflict-of-laws principles.</w:t>
      </w:r>
    </w:p>
    <w:p>
      <w:pPr>
        <w:pStyle w:val="FirstParagraph"/>
      </w:pPr>
      <w:r>
        <w:rPr>
          <w:b/>
          <w:bCs/>
        </w:rPr>
        <w:t xml:space="preserve">15. Interpretation of Defined Terms.</w:t>
      </w:r>
    </w:p>
    <w:p>
      <w:pPr>
        <w:pStyle w:val="Compact"/>
        <w:numPr>
          <w:ilvl w:val="0"/>
          <w:numId w:val="1015"/>
        </w:numPr>
      </w:pPr>
      <w:r>
        <w:t xml:space="preserve">The parties acknowledge that, due to the manner in which this Agreement was negotiated and revised, the term</w:t>
      </w:r>
      <w:r>
        <w:t xml:space="preserve"> </w:t>
      </w:r>
      <w:r>
        <w:t xml:space="preserve">“Proprietary Information”</w:t>
      </w:r>
      <w:r>
        <w:t xml:space="preserve"> </w:t>
      </w:r>
      <w:r>
        <w:t xml:space="preserve">as used in Section 5 above and the term</w:t>
      </w:r>
      <w:r>
        <w:t xml:space="preserve"> </w:t>
      </w:r>
      <w:r>
        <w:t xml:space="preserve">“Confidential Information”</w:t>
      </w:r>
      <w:r>
        <w:t xml:space="preserve"> </w:t>
      </w:r>
      <w:r>
        <w:t xml:space="preserve">as used elsewhere in this Agreement, including in Sections 6 and 9, are intended to refer to the same body of information belonging to the Company, and shall be construed accordingly, with any distinction in terminology between those Sections given no independent legal effect.</w:t>
      </w:r>
    </w:p>
    <w:p>
      <w:pPr>
        <w:pStyle w:val="FirstParagraph"/>
      </w:pPr>
      <w:r>
        <w:rPr>
          <w:b/>
          <w:bCs/>
        </w:rPr>
        <w:t xml:space="preserve">16. Entire Agreement.</w:t>
      </w:r>
    </w:p>
    <w:p>
      <w:pPr>
        <w:pStyle w:val="Compact"/>
        <w:numPr>
          <w:ilvl w:val="0"/>
          <w:numId w:val="1016"/>
        </w:numPr>
      </w:pPr>
      <w:r>
        <w:t xml:space="preserve">This Agreement constitutes the entire agreement between Employee and the Company with respect to the subject matter herein and supersedes all prior or contemporaneous agreements, understandings, negotiations, and discussions, whether oral or written, between the parties relating to that subject matter. This Agreement may not be amended or modified except by a written instrument signed by Employee and an authorized officer of the Company.</w:t>
      </w:r>
    </w:p>
    <w:p>
      <w:pPr>
        <w:pStyle w:val="FirstParagraph"/>
      </w:pPr>
      <w:r>
        <w:rPr>
          <w:b/>
          <w:bCs/>
        </w:rPr>
        <w:t xml:space="preserve">Signatures.</w:t>
      </w:r>
    </w:p>
    <w:p>
      <w:pPr>
        <w:pStyle w:val="BodyText"/>
      </w:pPr>
      <w:r>
        <w:t xml:space="preserve">IN WITNESS WHEREOF, the parties have executed this Agreement as of the date first written above.</w:t>
      </w:r>
    </w:p>
    <w:p>
      <w:pPr>
        <w:pStyle w:val="BodyText"/>
      </w:pPr>
      <w:r>
        <w:rPr>
          <w:b/>
          <w:bCs/>
        </w:rPr>
        <w:t xml:space="preserve">OSTRANDER BRAND GROUP LLC</w:t>
      </w:r>
    </w:p>
    <w:p>
      <w:pPr>
        <w:pStyle w:val="BodyText"/>
      </w:pPr>
      <w:r>
        <w:t xml:space="preserve">By: _______________________________</w:t>
      </w:r>
      <w:r>
        <w:t xml:space="preserve"> </w:t>
      </w:r>
      <w:r>
        <w:t xml:space="preserve">Name: Colm Feeney</w:t>
      </w:r>
      <w:r>
        <w:t xml:space="preserve"> </w:t>
      </w:r>
      <w:r>
        <w:t xml:space="preserve">Title: Chief People Officer</w:t>
      </w:r>
      <w:r>
        <w:t xml:space="preserve"> </w:t>
      </w:r>
      <w:r>
        <w:t xml:space="preserve">Date: September 8, 2022</w:t>
      </w:r>
    </w:p>
    <w:p>
      <w:pPr>
        <w:pStyle w:val="BodyText"/>
      </w:pPr>
      <w:r>
        <w:rPr>
          <w:b/>
          <w:bCs/>
        </w:rPr>
        <w:t xml:space="preserve">EMPLOYEE</w:t>
      </w:r>
    </w:p>
    <w:p>
      <w:r>
        <w:pict>
          <v:rect style="width:0;height:1.5pt" o:hralign="center" o:hrstd="t" o:hr="t"/>
        </w:pict>
      </w:r>
    </w:p>
    <w:p>
      <w:pPr>
        <w:pStyle w:val="FirstParagraph"/>
      </w:pPr>
      <w:r>
        <w:t xml:space="preserve">Priya Raghunathan</w:t>
      </w:r>
      <w:r>
        <w:t xml:space="preserve"> </w:t>
      </w:r>
      <w:r>
        <w:t xml:space="preserve">Title: Vice President, Brand Strategy</w:t>
      </w:r>
      <w:r>
        <w:t xml:space="preserve"> </w:t>
      </w:r>
      <w:r>
        <w:t xml:space="preserve">Date: September 8, 2022</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2026-08-29T21:23:24Z</dcterms:created>
  <dcterms:modified xsi:type="dcterms:W3CDTF">2026-08-29T21:23:24Z</dcterms:modified>
</cp:coreProperties>
</file>

<file path=docProps/custom.xml><?xml version="1.0" encoding="utf-8"?>
<Properties xmlns="http://schemas.openxmlformats.org/officeDocument/2006/custom-properties" xmlns:vt="http://schemas.openxmlformats.org/officeDocument/2006/docPropsVTypes"/>
</file>