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38a717f531c48629196f54ccd84047a824b603"/>
    <w:p>
      <w:pPr>
        <w:pStyle w:val="Heading1"/>
      </w:pPr>
      <w:r>
        <w:t xml:space="preserve">NONCOMPETITION, NON-SOLICITATION, AND CONFIDENTIALITY AGREEMENT</w:t>
      </w:r>
    </w:p>
    <w:p>
      <w:pPr>
        <w:pStyle w:val="FirstParagraph"/>
      </w:pPr>
      <w:r>
        <w:t xml:space="preserve">This Noncompetition, Non-Solicitation, and Confidentiality Agreement (this</w:t>
      </w:r>
      <w:r>
        <w:t xml:space="preserve"> </w:t>
      </w:r>
      <w:r>
        <w:t xml:space="preserve">“Agreement”</w:t>
      </w:r>
      <w:r>
        <w:t xml:space="preserve">) is entered into as of January 20, 2025 (the</w:t>
      </w:r>
      <w:r>
        <w:t xml:space="preserve"> </w:t>
      </w:r>
      <w:r>
        <w:t xml:space="preserve">“Effective Date”</w:t>
      </w:r>
      <w:r>
        <w:t xml:space="preserve">), by and between Stonefield Insurance Brokers LLC, a Connecticut limited liability company with its principal office in Stamford, Connecticut (the</w:t>
      </w:r>
      <w:r>
        <w:t xml:space="preserve"> </w:t>
      </w:r>
      <w:r>
        <w:t xml:space="preserve">“Company”</w:t>
      </w:r>
      <w:r>
        <w:t xml:space="preserve">), and Margaret Kilbride, an individual residing in Connecticut (</w:t>
      </w:r>
      <w:r>
        <w:t xml:space="preserve">“Employee”</w:t>
      </w:r>
      <w:r>
        <w:t xml:space="preserve">). The Company and Employee are sometimes referred to individually as a</w:t>
      </w:r>
      <w:r>
        <w:t xml:space="preserve"> </w:t>
      </w:r>
      <w:r>
        <w:t xml:space="preserve">“Party”</w:t>
      </w:r>
      <w:r>
        <w:t xml:space="preserve"> </w:t>
      </w:r>
      <w:r>
        <w:t xml:space="preserve">and together as the</w:t>
      </w:r>
      <w:r>
        <w:t xml:space="preserve"> </w:t>
      </w:r>
      <w:r>
        <w:t xml:space="preserve">“Parties.”</w:t>
      </w:r>
    </w:p>
    <w:p>
      <w:pPr>
        <w:pStyle w:val="BodyText"/>
      </w:pPr>
      <w:r>
        <w:rPr>
          <w:b/>
          <w:bCs/>
        </w:rPr>
        <w:t xml:space="preserve">Background and Consideration.</w:t>
      </w:r>
      <w:r>
        <w:t xml:space="preserve"> </w:t>
      </w:r>
      <w:r>
        <w:t xml:space="preserve">The Company is engaged in the business of commercial insurance brokerage, including the placement, marketing, and servicing of commercial lines insurance coverage for businesses located in Connecticut and elsewhere. The Company is employing, or continuing to employ, Employee as a Commercial Lines Producer, a position in which Employee will originate, develop, and hold primary relationship responsibility for a substantial and growing book of the Company’s commercial insurance accounts, will be assigned house accounts and renewal business developed by the Company over many years, and will receive regular access to the Company’s confidential customer, pricing, and carrier information as a direct and necessary consequence of that role. In consideration of Employee’s employment or continued employment as a Commercial Lines Producer, the base compensation and commission opportunity described in Employee’s separate compensation schedule, the book of business and house accounts the Company is assigning or will assign to Employee, and Employee’s resulting access to the Company’s confidential information and customer relationships, and other good and valuable consideration, the receipt and sufficiency of which are acknowledged, the Parties agree as follows.</w:t>
      </w:r>
    </w:p>
    <w:p>
      <w:pPr>
        <w:pStyle w:val="BodyText"/>
      </w:pPr>
      <w:r>
        <w:rPr>
          <w:b/>
          <w:bCs/>
        </w:rPr>
        <w:t xml:space="preserve">Non-Competition.</w:t>
      </w:r>
      <w:r>
        <w:t xml:space="preserve"> </w:t>
      </w:r>
      <w:r>
        <w:t xml:space="preserve">During Employee’s employment with the Company and for a period of twenty-four (24) months following the termination of Employee’s employment for any reason (the</w:t>
      </w:r>
      <w:r>
        <w:t xml:space="preserve"> </w:t>
      </w:r>
      <w:r>
        <w:t xml:space="preserve">“Restricted Period”</w:t>
      </w:r>
      <w:r>
        <w:t xml:space="preserve">), Employee shall not, directly or indirectly, engage in, own, manage, operate, control, be employed by, provide services to, or otherwise participate or invest in any business that offers commercial insurance brokerage, agency, or placement services in competition with the Company, in any capacity substantially similar to Employee’s role with the Company, within Fairfield County, New Haven County, or Hartford County, Connecticut (collectively, the</w:t>
      </w:r>
      <w:r>
        <w:t xml:space="preserve"> </w:t>
      </w:r>
      <w:r>
        <w:t xml:space="preserve">“Territory”</w:t>
      </w:r>
      <w:r>
        <w:t xml:space="preserve">). This restriction applies regardless of whether Employee’s role with a competing business is the same as Employee’s role with the Company, applies whether Employee is acting on Employee’s own behalf or on behalf of any other person or entity, and applies without regard to whether Employee initiates the contact with the competing business or is recruited by it. Employee acknowledges that the Territory corresponds to the counties in which the Company transacts the substantial majority of its commercial lines business and in which Employee will develop customer relationships, pricing knowledge, and carrier relationships on the Company’s behalf, and that the scope of this restriction is no broader than necessary to protect those relationships.</w:t>
      </w:r>
    </w:p>
    <w:p>
      <w:pPr>
        <w:pStyle w:val="BodyText"/>
      </w:pPr>
      <w:r>
        <w:rPr>
          <w:b/>
          <w:bCs/>
        </w:rPr>
        <w:t xml:space="preserve">Non-Solicitation of Customers.</w:t>
      </w:r>
      <w:r>
        <w:t xml:space="preserve"> </w:t>
      </w:r>
      <w:r>
        <w:t xml:space="preserve">For purposes of this Section,</w:t>
      </w:r>
      <w:r>
        <w:t xml:space="preserve"> </w:t>
      </w:r>
      <w:r>
        <w:t xml:space="preserve">“Restricted Customer”</w:t>
      </w:r>
      <w:r>
        <w:t xml:space="preserve"> </w:t>
      </w:r>
      <w:r>
        <w:t xml:space="preserve">means any person or entity that (i) was a customer of the Company at any time during the twenty-four (24) months immediately preceding the termination of Employee’s employment (the</w:t>
      </w:r>
      <w:r>
        <w:t xml:space="preserve"> </w:t>
      </w:r>
      <w:r>
        <w:t xml:space="preserve">“Lookback Period”</w:t>
      </w:r>
      <w:r>
        <w:t xml:space="preserve">), and (ii) with whom Employee had Material Contact during the Lookback Period.</w:t>
      </w:r>
      <w:r>
        <w:t xml:space="preserve"> </w:t>
      </w:r>
      <w:r>
        <w:t xml:space="preserve">“Material Contact”</w:t>
      </w:r>
      <w:r>
        <w:t xml:space="preserve"> </w:t>
      </w:r>
      <w:r>
        <w:t xml:space="preserve">means contact between Employee and a customer (a) with whom Employee dealt on the Company’s behalf, (b) whose dealings with the Company were coordinated or supervised by Employee, (c) about whom Employee obtained Confidential Information in the ordinary course of business as a result of Employee’s association with the Company, or (d) who received products or services from the Company, the sale or provision of which resulted in compensation, commissions, or earnings for Employee within the Lookback Period. During employment and for a period of twenty-four (24) months thereafter, Employee shall not, on behalf of Employee or any other person or entity, solicit, divert, or attempt to solicit or divert the business of any Restricted Customer for the purpose of providing products or services competitive with those offered by the Company during the Lookback Period.</w:t>
      </w:r>
    </w:p>
    <w:p>
      <w:pPr>
        <w:pStyle w:val="BodyText"/>
      </w:pPr>
      <w:r>
        <w:rPr>
          <w:b/>
          <w:bCs/>
        </w:rPr>
        <w:t xml:space="preserve">No Poaching Company Staff.</w:t>
      </w:r>
      <w:r>
        <w:t xml:space="preserve"> </w:t>
      </w:r>
      <w:r>
        <w:t xml:space="preserve">For twenty-four (24) months after your employment ends, you agree not to try to convince any of the Company’s employees to quit and come work somewhere else with you, and you agree not to help any new employer of yours hire them away, whether that means recruiting them directly, passing along their contact information, or telling a recruiter who to call. This applies to people you worked with, managed, or knew about through your job at the Company in your last year there.</w:t>
      </w:r>
    </w:p>
    <w:p>
      <w:pPr>
        <w:pStyle w:val="BodyText"/>
      </w:pPr>
      <w:r>
        <w:rPr>
          <w:b/>
          <w:bCs/>
        </w:rPr>
        <w:t xml:space="preserve">Company Secrets.</w:t>
      </w:r>
      <w:r>
        <w:t xml:space="preserve"> </w:t>
      </w:r>
      <w:r>
        <w:t xml:space="preserve">While you work for the Company, and after your employment ends for any reason, you agree to keep private everything you learn about the Company’s business that isn’t already public — things like who its customers are and what they buy, how the Company prices its work, its plans for new products or new markets, and how its internal systems and processes work. You will not tell anyone outside the Company about any of this, and you will not use it to benefit yourself or anyone other than the Company, unless your job requires it or the Company tells you in writing that it’s all right to share it. When your employment ends, you agree to give back — or, if the Company asks, destroy — anything in your possession that contains this kind of information, including notes, files, drafts, and copies, in any format. Where any of this information also qualifies as a trade secret under applicable law, this promise continues for as long as it remains a trade secret, with no end date.</w:t>
      </w:r>
    </w:p>
    <w:p>
      <w:pPr>
        <w:pStyle w:val="BodyText"/>
      </w:pPr>
      <w:r>
        <w:rPr>
          <w:b/>
          <w:bCs/>
        </w:rPr>
        <w:t xml:space="preserve">Return of Company Property.</w:t>
      </w:r>
      <w:r>
        <w:t xml:space="preserve"> </w:t>
      </w:r>
      <w:r>
        <w:t xml:space="preserve">Upon termination of employment for any reason, or at any earlier time upon the Company’s request, Employee shall promptly return to the Company all property belonging to the Company, including without limitation all documents, files, records, computers, mobile devices, access cards, keys, and any other equipment or materials, together with all copies thereof, in whatever medium, and shall not retain any copies, extracts, or summaries of any of the foregoing.</w:t>
      </w:r>
    </w:p>
    <w:p>
      <w:pPr>
        <w:pStyle w:val="BodyText"/>
      </w:pPr>
      <w:r>
        <w:rPr>
          <w:b/>
          <w:bCs/>
        </w:rPr>
        <w:t xml:space="preserve">Non-Disparagement.</w:t>
      </w:r>
      <w:r>
        <w:t xml:space="preserve"> </w:t>
      </w:r>
      <w:r>
        <w:t xml:space="preserve">Employee agrees not to make any statement, oral or written, that disparages or is reasonably likely to damage the business reputation or goodwill of the Company, its products, or its officers, directors, or employees, except as required by law or in connection with a good-faith report to, or testimony before, a governmental agency or in a legal proceeding.</w:t>
      </w:r>
    </w:p>
    <w:p>
      <w:pPr>
        <w:pStyle w:val="BodyText"/>
      </w:pPr>
      <w:r>
        <w:rPr>
          <w:b/>
          <w:bCs/>
        </w:rPr>
        <w:t xml:space="preserve">Injunctive Relief.</w:t>
      </w:r>
      <w:r>
        <w:t xml:space="preserve"> </w:t>
      </w:r>
      <w:r>
        <w:t xml:space="preserve">Employee acknowledges that a breach or threatened breach of the restrictive covenants in this Agreement would cause the Company irreparable harm for which money damages would not be an adequate remedy. Accordingly, in the event of any such breach or threatened breach, the Company shall be entitled, in addition to any other rights and remedies available at law or in equity, to seek temporary, preliminary, and permanent injunctive relief restraining Employee from committing or continuing any such breach, without the necessity of posting a bond or other security and without the necessity of proving actual damages. Nothing in this Section shall be construed to limit the Company’s right to pursue any other remedy available to it, including the recovery of damages.</w:t>
      </w:r>
    </w:p>
    <w:p>
      <w:pPr>
        <w:pStyle w:val="BodyText"/>
      </w:pPr>
      <w:r>
        <w:rPr>
          <w:b/>
          <w:bCs/>
        </w:rPr>
        <w:t xml:space="preserve">Attorneys’ Fees.</w:t>
      </w:r>
      <w:r>
        <w:t xml:space="preserve"> </w:t>
      </w:r>
      <w:r>
        <w:t xml:space="preserve">In any action to enforce the restrictive covenants in this Agreement, the prevailing party shall be entitled to recover its reasonable attorneys’ fees and costs from the non-prevailing party, in addition to any other relief to which it may be entitled.</w:t>
      </w:r>
    </w:p>
    <w:p>
      <w:pPr>
        <w:pStyle w:val="BodyText"/>
      </w:pPr>
      <w:r>
        <w:rPr>
          <w:b/>
          <w:bCs/>
        </w:rPr>
        <w:t xml:space="preserve">Assignment; Successors.</w:t>
      </w:r>
      <w:r>
        <w:t xml:space="preserve"> </w:t>
      </w:r>
      <w:r>
        <w:t xml:space="preserve">The Company may assign this Agreement, without Employee’s consent, to any successor to all or substantially all of the business or assets of the Company, whether by merger, sale of assets, or otherwise, and this Agreement shall inure to the benefit of and be binding upon any such successor or assign. Employee may not assign this Agreement or any rights or obligations under it.</w:t>
      </w:r>
    </w:p>
    <w:p>
      <w:pPr>
        <w:pStyle w:val="BodyText"/>
      </w:pPr>
      <w:r>
        <w:rPr>
          <w:b/>
          <w:bCs/>
        </w:rPr>
        <w:t xml:space="preserve">Severability; Reformation.</w:t>
      </w:r>
      <w:r>
        <w:t xml:space="preserve"> </w:t>
      </w:r>
      <w:r>
        <w:t xml:space="preserve">If any restriction in this Agreement is found by a court of competent jurisdiction to be unenforceable because it is unreasonable as to scope, duration, or geographic area, or for any other reason, the parties intend for the court to modify and reform that restriction, rather than to void it entirely, so as to render it enforceable to the maximum extent the court deems reasonable, and the restriction shall then be enforced as so modified. The parties expressly authorize a reviewing court to narrow the scope, shorten the duration, or reduce the geographic area of any restriction in this Agreement to the extent necessary to make it enforceable, and agree that such judicial modification shall not affect the enforceability of the remainder of this Agreement. If any other provision of this Agreement is held invalid or unenforceable, the remaining provisions shall continue in full force and effect.</w:t>
      </w:r>
    </w:p>
    <w:p>
      <w:pPr>
        <w:pStyle w:val="BodyText"/>
      </w:pPr>
      <w:r>
        <w:rPr>
          <w:b/>
          <w:bCs/>
        </w:rPr>
        <w:t xml:space="preserve">Governing Law.</w:t>
      </w:r>
      <w:r>
        <w:t xml:space="preserve"> </w:t>
      </w:r>
      <w:r>
        <w:t xml:space="preserve">This Agreement shall be governed by, and construed in accordance with, the laws of the State of Connecticut, without giving effect to any choice-of-law or conflict-of-laws provision that would require the application of the laws of any other jurisdiction.</w:t>
      </w:r>
    </w:p>
    <w:p>
      <w:pPr>
        <w:pStyle w:val="BodyText"/>
      </w:pPr>
      <w:r>
        <w:rPr>
          <w:b/>
          <w:bCs/>
        </w:rPr>
        <w:t xml:space="preserve">Acknowledgment.</w:t>
      </w:r>
      <w:r>
        <w:t xml:space="preserve"> </w:t>
      </w:r>
      <w:r>
        <w:t xml:space="preserve">Employee acknowledges that Employee has carefully read this Agreement, has had the opportunity to consult with independent legal counsel of Employee’s own choosing before signing it, understands its terms, and is entering into it voluntarily and in exchange for the consideration described above. Employee further acknowledges that the restrictions in this Agreement are reasonable in light of the value of the book of business, house accounts, and customer relationships Employee will be given access to during employment, and that the Company would not employ Employee as a Commercial Lines Producer, or give Employee access to that book of business, without Employee’s agreement to these restrictions.</w:t>
      </w:r>
    </w:p>
    <w:p>
      <w:pPr>
        <w:pStyle w:val="BodyText"/>
      </w:pPr>
      <w:r>
        <w:t xml:space="preserve">IN WITNESS WHEREOF, the Parties have executed this Agreement as of the Effective Date.</w:t>
      </w:r>
    </w:p>
    <w:p>
      <w:pPr>
        <w:pStyle w:val="BodyText"/>
      </w:pPr>
      <w:r>
        <w:t xml:space="preserve">STONEFIELD INSURANCE BROKERS LLC</w:t>
      </w:r>
    </w:p>
    <w:p>
      <w:pPr>
        <w:pStyle w:val="BodyText"/>
      </w:pPr>
      <w:r>
        <w:t xml:space="preserve">By: _________________________________</w:t>
      </w:r>
      <w:r>
        <w:t xml:space="preserve"> </w:t>
      </w:r>
      <w:r>
        <w:t xml:space="preserve">Name: Patrick Donnelly</w:t>
      </w:r>
      <w:r>
        <w:t xml:space="preserve"> </w:t>
      </w:r>
      <w:r>
        <w:t xml:space="preserve">Title: Managing Partner</w:t>
      </w:r>
    </w:p>
    <w:p>
      <w:pPr>
        <w:pStyle w:val="BodyText"/>
      </w:pPr>
      <w:r>
        <w:t xml:space="preserve">Date: January 20, 2025</w:t>
      </w:r>
    </w:p>
    <w:p>
      <w:pPr>
        <w:pStyle w:val="BodyText"/>
      </w:pPr>
      <w:r>
        <w:t xml:space="preserve">EMPLOYEE</w:t>
      </w:r>
    </w:p>
    <w:p>
      <w:r>
        <w:pict>
          <v:rect style="width:0;height:1.5pt" o:hralign="center" o:hrstd="t" o:hr="t"/>
        </w:pict>
      </w:r>
    </w:p>
    <w:p>
      <w:pPr>
        <w:pStyle w:val="FirstParagraph"/>
      </w:pPr>
      <w:r>
        <w:t xml:space="preserve">Margaret Kilbride</w:t>
      </w:r>
    </w:p>
    <w:p>
      <w:pPr>
        <w:pStyle w:val="BodyText"/>
      </w:pPr>
      <w:r>
        <w:t xml:space="preserve">Date: January 20, 2025</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2026-08-29T21:23:26Z</dcterms:created>
  <dcterms:modified xsi:type="dcterms:W3CDTF">2026-08-29T21:23:26Z</dcterms:modified>
</cp:coreProperties>
</file>

<file path=docProps/custom.xml><?xml version="1.0" encoding="utf-8"?>
<Properties xmlns="http://schemas.openxmlformats.org/officeDocument/2006/custom-properties" xmlns:vt="http://schemas.openxmlformats.org/officeDocument/2006/docPropsVTypes"/>
</file>