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ea6d835c64afe6aff27a740e5c21a262b4ce4c5"/>
    <w:p>
      <w:pPr>
        <w:pStyle w:val="Heading1"/>
      </w:pPr>
      <w:r>
        <w:t xml:space="preserve">EMPLOYEE NONCOMPETITION, NON-SOLICITATION, AND CONFIDENTIALITY AGREEMENT</w:t>
      </w:r>
    </w:p>
    <w:p>
      <w:pPr>
        <w:pStyle w:val="FirstParagraph"/>
      </w:pPr>
      <w:r>
        <w:t xml:space="preserve">This Employee Noncompetition, Non-Solicitation, and Confidentiality Agreement (this</w:t>
      </w:r>
      <w:r>
        <w:t xml:space="preserve"> </w:t>
      </w:r>
      <w:r>
        <w:t xml:space="preserve">“Agreement”</w:t>
      </w:r>
      <w:r>
        <w:t xml:space="preserve">) is made and entered into as of March 27, 2025, by and between Bramwell Specialty Foods Inc., a New Jersey corporation with its principal place of business at 118 Featherbed Lane, Cranbury, New Jersey 08512 (the</w:t>
      </w:r>
      <w:r>
        <w:t xml:space="preserve"> </w:t>
      </w:r>
      <w:r>
        <w:t xml:space="preserve">“Company”</w:t>
      </w:r>
      <w:r>
        <w:t xml:space="preserve">), and Gina Esposito, an individual (</w:t>
      </w:r>
      <w:r>
        <w:t xml:space="preserve">“Employee”</w:t>
      </w:r>
      <w:r>
        <w:t xml:space="preserve">). The Company and Employee are together the</w:t>
      </w:r>
      <w:r>
        <w:t xml:space="preserve"> </w:t>
      </w:r>
      <w:r>
        <w:t xml:space="preserve">“Parties.”</w:t>
      </w:r>
    </w:p>
    <w:bookmarkStart w:id="9" w:name="recitals"/>
    <w:p>
      <w:pPr>
        <w:pStyle w:val="Heading2"/>
      </w:pPr>
      <w:r>
        <w:t xml:space="preserve">RECITALS</w:t>
      </w:r>
    </w:p>
    <w:p>
      <w:pPr>
        <w:numPr>
          <w:ilvl w:val="0"/>
          <w:numId w:val="1001"/>
        </w:numPr>
      </w:pPr>
      <w:r>
        <w:t xml:space="preserve">The Company is engaged in the business of sourcing, marketing, and distributing specialty and gourmet food products to retail grocers, food-service operators, and other commercial customers throughout the states in which it does business (the</w:t>
      </w:r>
      <w:r>
        <w:t xml:space="preserve"> </w:t>
      </w:r>
      <w:r>
        <w:t xml:space="preserve">“Business”</w:t>
      </w:r>
      <w:r>
        <w:t xml:space="preserve">).</w:t>
      </w:r>
    </w:p>
    <w:p>
      <w:pPr>
        <w:numPr>
          <w:ilvl w:val="0"/>
          <w:numId w:val="1001"/>
        </w:numPr>
      </w:pPr>
      <w:r>
        <w:t xml:space="preserve">Employee is being employed, or continues to be employed, by the Company as National Accounts Manager, a position in which Employee will develop, manage, and have primary responsibility for the Company’s relationships with its most significant national and regional accounts, and will have access to the Company’s confidential pricing, margin, account-strategy, and customer-relationship information.</w:t>
      </w:r>
    </w:p>
    <w:p>
      <w:pPr>
        <w:numPr>
          <w:ilvl w:val="0"/>
          <w:numId w:val="1001"/>
        </w:numPr>
      </w:pPr>
      <w:r>
        <w:t xml:space="preserve">The Company has invested substantial time, effort, and expense over many years to build the customer relationships, goodwill, confidential business information, and trade secrets described in this Agreement, each of which the Parties acknowledge constitutes a legitimate business interest of the Company that is worthy of protection, and each restriction in this Agreement is drafted to protect one or more of those specific interests and no more broadly than the Parties believe is reasonably necessary to do so.</w:t>
      </w:r>
    </w:p>
    <w:p>
      <w:pPr>
        <w:numPr>
          <w:ilvl w:val="0"/>
          <w:numId w:val="1001"/>
        </w:numPr>
      </w:pPr>
      <w:r>
        <w:t xml:space="preserve">In exchange for the compensation, access to Confidential Information, and continued or new employment described in this Agreement, and for other good and valuable consideration, the sufficiency of which Employee acknowledges, Employee is willing to accept the obligations set forth in this Agreement.</w:t>
      </w:r>
    </w:p>
    <w:p>
      <w:pPr>
        <w:pStyle w:val="FirstParagraph"/>
      </w:pPr>
      <w:r>
        <w:t xml:space="preserve">NOW, THEREFORE, in consideration of the foregoing recitals, which are incorporated into this Agreement, and the mutual covenants below, the Parties agree as follows.</w:t>
      </w:r>
    </w:p>
    <w:p>
      <w:pPr>
        <w:pStyle w:val="Compact"/>
        <w:numPr>
          <w:ilvl w:val="0"/>
          <w:numId w:val="1002"/>
        </w:numPr>
      </w:pPr>
      <w:r>
        <w:rPr>
          <w:b/>
          <w:bCs/>
        </w:rPr>
        <w:t xml:space="preserve">Definitions.</w:t>
      </w:r>
    </w:p>
    <w:p>
      <w:pPr>
        <w:numPr>
          <w:ilvl w:val="0"/>
          <w:numId w:val="1003"/>
        </w:numPr>
      </w:pPr>
      <w:r>
        <w:t xml:space="preserve">“Confidential Information”</w:t>
      </w:r>
      <w:r>
        <w:t xml:space="preserve"> </w:t>
      </w:r>
      <w:r>
        <w:t xml:space="preserve">and</w:t>
      </w:r>
      <w:r>
        <w:t xml:space="preserve"> </w:t>
      </w:r>
      <w:r>
        <w:t xml:space="preserve">“Proprietary Information”</w:t>
      </w:r>
      <w:r>
        <w:t xml:space="preserve"> </w:t>
      </w:r>
      <w:r>
        <w:t xml:space="preserve">are used interchangeably in this Agreement, and each means the information described in Section 3 below.</w:t>
      </w:r>
    </w:p>
    <w:p>
      <w:pPr>
        <w:numPr>
          <w:ilvl w:val="0"/>
          <w:numId w:val="1003"/>
        </w:numPr>
      </w:pPr>
      <w:r>
        <w:t xml:space="preserve">“Products”</w:t>
      </w:r>
      <w:r>
        <w:t xml:space="preserve"> </w:t>
      </w:r>
      <w:r>
        <w:t xml:space="preserve">means specialty and gourmet food products of the types the Company researched, developed, marketed, sold, or distributed at any time during the twelve (12) months preceding the date in question, including any product category the Company had taken documented, active steps to introduce as of that date.</w:t>
      </w:r>
    </w:p>
    <w:p>
      <w:pPr>
        <w:numPr>
          <w:ilvl w:val="0"/>
          <w:numId w:val="1003"/>
        </w:numPr>
      </w:pPr>
      <w:r>
        <w:t xml:space="preserve">“Territory”</w:t>
      </w:r>
      <w:r>
        <w:t xml:space="preserve"> </w:t>
      </w:r>
      <w:r>
        <w:t xml:space="preserve">means, collectively, each state of the United States in which the Company sold Products at any time during Employee’s employment with the Company. The Parties acknowledge that the Company’s sales footprint changes over time as it adds or exits markets, and that the Territory as applied on any given date is therefore the set of states reflecting the Company’s actual sales footprint as of the date Employee’s employment terminates, which the Company shall be able to identify, if requested, by reference to its ordinary-course sales records.</w:t>
      </w:r>
    </w:p>
    <w:p>
      <w:pPr>
        <w:numPr>
          <w:ilvl w:val="0"/>
          <w:numId w:val="1003"/>
        </w:numPr>
      </w:pPr>
      <w:r>
        <w:t xml:space="preserve">“Restricted Period”</w:t>
      </w:r>
      <w:r>
        <w:t xml:space="preserve"> </w:t>
      </w:r>
      <w:r>
        <w:t xml:space="preserve">means the twenty-four (24) month period immediately following the termination of Employee’s employment with the Company for any reason.</w:t>
      </w:r>
    </w:p>
    <w:p>
      <w:pPr>
        <w:numPr>
          <w:ilvl w:val="0"/>
          <w:numId w:val="1003"/>
        </w:numPr>
      </w:pPr>
      <w:r>
        <w:t xml:space="preserve">“Competing Business”</w:t>
      </w:r>
      <w:r>
        <w:t xml:space="preserve"> </w:t>
      </w:r>
      <w:r>
        <w:t xml:space="preserve">means any person or entity that sources, markets, sells, or distributes Products in competition with the Company.</w:t>
      </w:r>
    </w:p>
    <w:p>
      <w:pPr>
        <w:pStyle w:val="Compact"/>
        <w:numPr>
          <w:ilvl w:val="0"/>
          <w:numId w:val="1004"/>
        </w:numPr>
      </w:pPr>
      <w:r>
        <w:rPr>
          <w:b/>
          <w:bCs/>
        </w:rPr>
        <w:t xml:space="preserve">Noncompetition.</w:t>
      </w:r>
    </w:p>
    <w:p>
      <w:pPr>
        <w:numPr>
          <w:ilvl w:val="0"/>
          <w:numId w:val="1005"/>
        </w:numPr>
      </w:pPr>
      <w:r>
        <w:t xml:space="preserve">Restriction. Employee agrees that, during employment and during the Restricted Period, Employee shall not, directly or indirectly, within the Territory, perform for a Competing Business the same or substantially similar duties to those Employee performed for the Company, in a role involving national or regional account management, key-account sales, or customer-facing responsibility for accounts of a type Employee serviced, supervised, or had access to information about during the last twenty-four (24) months of Employee’s employment with the Company.</w:t>
      </w:r>
    </w:p>
    <w:p>
      <w:pPr>
        <w:numPr>
          <w:ilvl w:val="0"/>
          <w:numId w:val="1005"/>
        </w:numPr>
      </w:pPr>
      <w:r>
        <w:t xml:space="preserve">Relationship to Stated Interests. This restriction is scoped to (i) the geographic area in which the Company actually competes, so as to avoid restricting Employee in states where the Company does no Business and has no relationships to protect; (ii) roles substantially similar to Employee’s own, so as to avoid restricting Employee from working in the food industry generally, including in functions unrelated to national accounts management; and (iii) the twenty-four-month period the Parties believe is reasonably required for the Company to transition Employee’s accounts, retrain a successor, and allow customer relationships built around Employee to stabilize around a new point of contact. Employee acknowledges that each of these limits was deliberately chosen to track the Company’s legitimate business interests in its customer relationships, goodwill, and confidential account information described in these Recitals and in Section 3, and that the restriction is not intended to, and does not, extend further than what those interests require.</w:t>
      </w:r>
    </w:p>
    <w:p>
      <w:pPr>
        <w:numPr>
          <w:ilvl w:val="0"/>
          <w:numId w:val="1005"/>
        </w:numPr>
      </w:pPr>
      <w:r>
        <w:t xml:space="preserve">Carve-Out for Passive Ownership. Nothing in this Section 2 prohibits Employee from holding, as a passive investment, up to two percent (2%) of the outstanding equity of any publicly traded Competing Business.</w:t>
      </w:r>
    </w:p>
    <w:p>
      <w:pPr>
        <w:pStyle w:val="Compact"/>
        <w:numPr>
          <w:ilvl w:val="0"/>
          <w:numId w:val="1006"/>
        </w:numPr>
      </w:pPr>
      <w:r>
        <w:rPr>
          <w:b/>
          <w:bCs/>
        </w:rPr>
        <w:t xml:space="preserve">Confidentiality.</w:t>
      </w:r>
    </w:p>
    <w:p>
      <w:pPr>
        <w:numPr>
          <w:ilvl w:val="0"/>
          <w:numId w:val="1007"/>
        </w:numPr>
      </w:pPr>
      <w:r>
        <w:t xml:space="preserve">Nondisclosure of Company Information. During employment and at all times thereafter, Employee shall not use, disclose, publish, or make accessible to any third party any Proprietary Information, except to the extent necessary to perform Employee’s assigned duties for the Company or as specifically authorized in writing by an officer of the Company. Proprietary Information includes, without limitation: (i) technical information such as product formulations, engineering data, designs, prototypes, and research results; (ii) business information such as customer and prospect identities and requirements, pricing, margins, supplier terms, and strategic or financial plans; and (iii) any other nonpublic information that the Company treats as confidential.</w:t>
      </w:r>
    </w:p>
    <w:p>
      <w:pPr>
        <w:numPr>
          <w:ilvl w:val="0"/>
          <w:numId w:val="1007"/>
        </w:numPr>
      </w:pPr>
      <w:r>
        <w:t xml:space="preserve">Carve-Outs. Employee’s obligations under this Section do not apply to information that (a) is or becomes generally known to the public through no fault of Employee, (b) was lawfully in Employee’s possession before disclosure by the Company, free of any obligation of confidence, or (c) is required to be disclosed by valid legal process, provided Employee gives the Company prompt notice and a reasonable opportunity to seek a protective order before disclosure occurs.</w:t>
      </w:r>
    </w:p>
    <w:p>
      <w:pPr>
        <w:numPr>
          <w:ilvl w:val="0"/>
          <w:numId w:val="1007"/>
        </w:numPr>
      </w:pPr>
      <w:r>
        <w:t xml:space="preserve">Trade Secrets. Nothing in this Section limits any protection afforded to trade secrets under applicable law, and as to trade secrets this Section’s restrictions continue for as long as the information remains a trade secret.</w:t>
      </w:r>
    </w:p>
    <w:p>
      <w:pPr>
        <w:pStyle w:val="Compact"/>
        <w:numPr>
          <w:ilvl w:val="0"/>
          <w:numId w:val="1008"/>
        </w:numPr>
      </w:pPr>
      <w:r>
        <w:rPr>
          <w:b/>
          <w:bCs/>
        </w:rPr>
        <w:t xml:space="preserve">Non-Solicitation of Customers.</w:t>
      </w:r>
    </w:p>
    <w:p>
      <w:pPr>
        <w:numPr>
          <w:ilvl w:val="0"/>
          <w:numId w:val="1009"/>
        </w:numPr>
      </w:pPr>
      <w:r>
        <w:t xml:space="preserve">Definitions. For purposes of this Section,</w:t>
      </w:r>
      <w:r>
        <w:t xml:space="preserve"> </w:t>
      </w:r>
      <w:r>
        <w:t xml:space="preserve">“Restricted Customer”</w:t>
      </w:r>
      <w:r>
        <w:t xml:space="preserve"> </w:t>
      </w:r>
      <w:r>
        <w:t xml:space="preserve">means any person or entity that (i) was a customer of the Company at any time during the twenty-four (24) months immediately preceding the termination of Employee’s employment (the</w:t>
      </w:r>
      <w:r>
        <w:t xml:space="preserve"> </w:t>
      </w:r>
      <w:r>
        <w:t xml:space="preserve">“Lookback Period”</w:t>
      </w:r>
      <w:r>
        <w:t xml:space="preserve">), and (ii) with whom Employee had Material Contact during the Lookback Period.</w:t>
      </w:r>
      <w:r>
        <w:t xml:space="preserve"> </w:t>
      </w:r>
      <w:r>
        <w:t xml:space="preserve">“Material Contact”</w:t>
      </w:r>
      <w:r>
        <w:t xml:space="preserve"> </w:t>
      </w:r>
      <w:r>
        <w:t xml:space="preserve">means contact between Employee and a customer (a) with whom Employee dealt on the Company’s behalf, (b) whose dealings with the Company were coordinated or supervised by Employee, (c) about whom Employee obtained Confidential Information in the ordinary course of business as a result of Employee’s association with the Company, or (d) who received products or services from the Company, the sale or provision of which resulted in compensation, commissions, or earnings for Employee within the Lookback Period.</w:t>
      </w:r>
    </w:p>
    <w:p>
      <w:pPr>
        <w:numPr>
          <w:ilvl w:val="0"/>
          <w:numId w:val="1009"/>
        </w:numPr>
      </w:pPr>
      <w:r>
        <w:t xml:space="preserve">Restriction. During employment and for a period of twenty-four (24) months thereafter, Employee shall not, on behalf of Employee or any other person or entity, solicit, divert, or attempt to solicit or divert the business of any Restricted Customer for the purpose of providing products or services competitive with those offered by the Company during the Lookback Period.</w:t>
      </w:r>
    </w:p>
    <w:p>
      <w:pPr>
        <w:numPr>
          <w:ilvl w:val="0"/>
          <w:numId w:val="1009"/>
        </w:numPr>
      </w:pPr>
      <w:r>
        <w:t xml:space="preserve">Why This Scope Was Chosen. The Parties selected a Material Contact standard, rather than a restriction reaching every customer of the Company, so that this Section 4 tracks only the customer relationships in which Employee personally built goodwill on the Company’s behalf and personally acquired Confidential Information about the customer’s needs, purchasing patterns, and pricing — the specific relational and informational assets described in the Recitals. Employee acknowledges that a National Accounts Manager’s influence over a customer relationship does not evaporate the day employment ends, and that the twenty-four-month Lookback and post-termination periods reflect the ordinary purchasing and contract-renewal cycles observed in the Company’s Business.</w:t>
      </w:r>
    </w:p>
    <w:p>
      <w:pPr>
        <w:pStyle w:val="Compact"/>
        <w:numPr>
          <w:ilvl w:val="0"/>
          <w:numId w:val="1010"/>
        </w:numPr>
      </w:pPr>
      <w:r>
        <w:rPr>
          <w:b/>
          <w:bCs/>
        </w:rPr>
        <w:t xml:space="preserve">Non-Solicitation of Employees.</w:t>
      </w:r>
    </w:p>
    <w:p>
      <w:pPr>
        <w:pStyle w:val="Compact"/>
        <w:numPr>
          <w:ilvl w:val="0"/>
          <w:numId w:val="1011"/>
        </w:numPr>
      </w:pPr>
      <w:r>
        <w:t xml:space="preserve">No Poaching Company Staff. For twenty-four (24) months after your employment ends, you agree not to try to convince any of the Company’s employees to quit and come work somewhere else with you, and you agree not to help any new employer of yours hire them away, whether that means recruiting them directly, passing along their contact information, or telling a recruiter who to call. This applies to people you worked with, managed, or knew about through your job at the Company in your last year there.</w:t>
      </w:r>
    </w:p>
    <w:p>
      <w:pPr>
        <w:pStyle w:val="Compact"/>
        <w:numPr>
          <w:ilvl w:val="0"/>
          <w:numId w:val="1012"/>
        </w:numPr>
      </w:pPr>
      <w:r>
        <w:rPr>
          <w:b/>
          <w:bCs/>
        </w:rPr>
        <w:t xml:space="preserve">Assignment of Inventions.</w:t>
      </w:r>
    </w:p>
    <w:p>
      <w:pPr>
        <w:pStyle w:val="Compact"/>
        <w:numPr>
          <w:ilvl w:val="0"/>
          <w:numId w:val="1013"/>
        </w:numPr>
      </w:pPr>
      <w:r>
        <w:t xml:space="preserve">Employee agrees that all inventions, discoveries, designs, developments, improvements, and works of authorship, whether or not patentable or copyrightable, that Employee conceives, develops, or reduces to practice, alone or with others, during the period of Employee’s employment with the Company and that relate to the Company’s actual or anticipated business, or that result from any work performed by Employee for the Company, shall be the sole and exclusive property of the Company. Employee hereby assigns to the Company all right, title, and interest in and to any such inventions, and agrees to execute any documents and take any actions reasonably requested by the Company to perfect the Company’s ownership rights therein, both during and after employment.</w:t>
      </w:r>
    </w:p>
    <w:p>
      <w:pPr>
        <w:pStyle w:val="Compact"/>
        <w:numPr>
          <w:ilvl w:val="0"/>
          <w:numId w:val="1014"/>
        </w:numPr>
      </w:pPr>
      <w:r>
        <w:rPr>
          <w:b/>
          <w:bCs/>
        </w:rPr>
        <w:t xml:space="preserve">Tolling During Breach.</w:t>
      </w:r>
    </w:p>
    <w:p>
      <w:pPr>
        <w:pStyle w:val="Compact"/>
        <w:numPr>
          <w:ilvl w:val="0"/>
          <w:numId w:val="1015"/>
        </w:numPr>
      </w:pPr>
      <w:r>
        <w:t xml:space="preserve">If Employee breaches any restrictive covenant contained in this Agreement, the period of restriction applicable to that covenant shall be extended, or tolled, by the length of time during which Employee was in breach, so that the Company receives the full benefit of the bargained-for restriction. This tolling shall apply automatically and without the need for further action by the Company, and shall run from the date a court of competent jurisdiction determines that a breach occurred, or from the date the breach ceases, whichever the Company elects.</w:t>
      </w:r>
    </w:p>
    <w:p>
      <w:pPr>
        <w:pStyle w:val="Compact"/>
        <w:numPr>
          <w:ilvl w:val="0"/>
          <w:numId w:val="1016"/>
        </w:numPr>
      </w:pPr>
      <w:r>
        <w:rPr>
          <w:b/>
          <w:bCs/>
        </w:rPr>
        <w:t xml:space="preserve">Injunctive Relief.</w:t>
      </w:r>
    </w:p>
    <w:p>
      <w:pPr>
        <w:pStyle w:val="Compact"/>
        <w:numPr>
          <w:ilvl w:val="0"/>
          <w:numId w:val="1017"/>
        </w:numPr>
      </w:pPr>
      <w:r>
        <w:t xml:space="preserve">Employee acknowledges that a breach or threatened breach of the restrictive covenants in this Agreement would cause the Company irreparable harm for which money damages would not be an adequate remedy. Accordingly, in the event of any such breach or threatened breach, the Company shall be entitled, in addition to any other rights and remedies available at law or in equity, to seek temporary, preliminary, and permanent injunctive relief restraining Employee from committing or continuing any such breach, without the necessity of posting a bond or other security and without the necessity of proving actual damages. Nothing in this Section shall be construed to limit the Company’s right to pursue any other remedy available to it, including the recovery of damages.</w:t>
      </w:r>
    </w:p>
    <w:p>
      <w:pPr>
        <w:pStyle w:val="Compact"/>
        <w:numPr>
          <w:ilvl w:val="0"/>
          <w:numId w:val="1018"/>
        </w:numPr>
      </w:pPr>
      <w:r>
        <w:rPr>
          <w:b/>
          <w:bCs/>
        </w:rPr>
        <w:t xml:space="preserve">Severability; Reformation; Legitimate Business Interest.</w:t>
      </w:r>
    </w:p>
    <w:p>
      <w:pPr>
        <w:numPr>
          <w:ilvl w:val="0"/>
          <w:numId w:val="1019"/>
        </w:numPr>
      </w:pPr>
      <w:r>
        <w:t xml:space="preserve">The parties agree that the restrictions in this Agreement are reasonable and necessary to protect the Company’s legitimate business interests, including its confidential information, customer relationships, and goodwill, and are reasonably limited in time, geography, and scope to protect those interests without imposing an undue hardship on Employee or injuring the public.</w:t>
      </w:r>
    </w:p>
    <w:p>
      <w:pPr>
        <w:numPr>
          <w:ilvl w:val="0"/>
          <w:numId w:val="1019"/>
        </w:numPr>
      </w:pPr>
      <w:r>
        <w:t xml:space="preserve">If, notwithstanding the foregoing, any restriction is found by a court to exceed what is reasonably necessary to protect the Company’s legitimate business interests, the parties agree that the court shall reform the restriction to the maximum time, geographic, and scope limitations that the court determines are reasonable and necessary to protect those interests, and shall enforce the restriction as reformed.</w:t>
      </w:r>
    </w:p>
    <w:p>
      <w:pPr>
        <w:numPr>
          <w:ilvl w:val="0"/>
          <w:numId w:val="1019"/>
        </w:numPr>
      </w:pPr>
      <w:r>
        <w:t xml:space="preserve">The invalidity or unenforceability of any provision of this Agreement shall not affect the validity or enforceability of any other provision. The Parties emphasize that this Section 9 is a backstop, not the primary basis for enforceability: the Parties’ first-order intent, reflected throughout Sections 2 through 5, was to draft restrictions that are enforceable as written because each is tied to, and no broader than, an identified legitimate business interest.</w:t>
      </w:r>
    </w:p>
    <w:p>
      <w:pPr>
        <w:pStyle w:val="Compact"/>
        <w:numPr>
          <w:ilvl w:val="0"/>
          <w:numId w:val="1020"/>
        </w:numPr>
      </w:pPr>
      <w:r>
        <w:rPr>
          <w:b/>
          <w:bCs/>
        </w:rPr>
        <w:t xml:space="preserve">Governing Law.</w:t>
      </w:r>
    </w:p>
    <w:p>
      <w:pPr>
        <w:pStyle w:val="Compact"/>
        <w:numPr>
          <w:ilvl w:val="0"/>
          <w:numId w:val="1021"/>
        </w:numPr>
      </w:pPr>
      <w:r>
        <w:t xml:space="preserve">This Agreement shall be governed by, and construed in accordance with, the laws of the State of New Jersey, without regard to principles of conflicts of law.</w:t>
      </w:r>
    </w:p>
    <w:p>
      <w:pPr>
        <w:pStyle w:val="Compact"/>
        <w:numPr>
          <w:ilvl w:val="0"/>
          <w:numId w:val="1022"/>
        </w:numPr>
      </w:pPr>
      <w:r>
        <w:rPr>
          <w:b/>
          <w:bCs/>
        </w:rPr>
        <w:t xml:space="preserve">Forum Selection.</w:t>
      </w:r>
    </w:p>
    <w:p>
      <w:pPr>
        <w:pStyle w:val="Compact"/>
        <w:numPr>
          <w:ilvl w:val="0"/>
          <w:numId w:val="1023"/>
        </w:numPr>
      </w:pPr>
      <w:r>
        <w:t xml:space="preserve">Each party consents to the exclusive jurisdiction of the state and federal courts located in the state whose law governs this Agreement under Section 10 above, for any action arising out of or relating to this Agreement, and waives any objection to venue or personal jurisdiction in those courts.</w:t>
      </w:r>
    </w:p>
    <w:p>
      <w:pPr>
        <w:pStyle w:val="Compact"/>
        <w:numPr>
          <w:ilvl w:val="0"/>
          <w:numId w:val="1024"/>
        </w:numPr>
      </w:pPr>
      <w:r>
        <w:rPr>
          <w:b/>
          <w:bCs/>
        </w:rPr>
        <w:t xml:space="preserve">Integration; Entire Agreement.</w:t>
      </w:r>
    </w:p>
    <w:p>
      <w:pPr>
        <w:pStyle w:val="Compact"/>
        <w:numPr>
          <w:ilvl w:val="0"/>
          <w:numId w:val="1025"/>
        </w:numPr>
      </w:pPr>
      <w:r>
        <w:t xml:space="preserve">This Agreement constitutes the entire agreement between Employee and the Company with respect to the subject matter herein and supersedes all prior or contemporaneous agreements, understandings, negotiations, and discussions, whether oral or written, between the parties relating to that subject matter. This Agreement may not be amended or modified except by a written instrument signed by Employee and an authorized officer of the Company.</w:t>
      </w:r>
    </w:p>
    <w:p>
      <w:pPr>
        <w:pStyle w:val="Compact"/>
        <w:numPr>
          <w:ilvl w:val="0"/>
          <w:numId w:val="1026"/>
        </w:numPr>
      </w:pPr>
      <w:r>
        <w:rPr>
          <w:b/>
          <w:bCs/>
        </w:rPr>
        <w:t xml:space="preserve">General Provisions.</w:t>
      </w:r>
    </w:p>
    <w:p>
      <w:pPr>
        <w:numPr>
          <w:ilvl w:val="0"/>
          <w:numId w:val="1027"/>
        </w:numPr>
      </w:pPr>
      <w:r>
        <w:t xml:space="preserve">Interpretation. The Parties acknowledge that this Agreement has been the subject of consideration by both Parties and shall not be construed against either Party as the drafter.</w:t>
      </w:r>
    </w:p>
    <w:p>
      <w:pPr>
        <w:numPr>
          <w:ilvl w:val="0"/>
          <w:numId w:val="1027"/>
        </w:numPr>
      </w:pPr>
      <w:r>
        <w:t xml:space="preserve">Consideration. Employee acknowledges that Employee’s employment or continued employment, access to Confidential Information described in Section 3, and the compensation Employee receives from the Company constitute good and sufficient consideration for Employee’s obligations under this Agreement, and that Employee has received a copy of this Agreement and had a reasonable opportunity to review it, and to consult with counsel of Employee’s choosing, before signing.</w:t>
      </w:r>
    </w:p>
    <w:p>
      <w:pPr>
        <w:numPr>
          <w:ilvl w:val="0"/>
          <w:numId w:val="1027"/>
        </w:numPr>
      </w:pPr>
      <w:r>
        <w:t xml:space="preserve">Counterparts. This Agreement may be executed in counterparts, including by electronic signature, each of which shall be deemed an original.</w:t>
      </w:r>
    </w:p>
    <w:p>
      <w:pPr>
        <w:numPr>
          <w:ilvl w:val="0"/>
          <w:numId w:val="1027"/>
        </w:numPr>
      </w:pPr>
      <w:r>
        <w:t xml:space="preserve">Reasonableness Acknowledgment. Employee acknowledges having read Sections 2(b) and 4(c) above and agrees that, for the reasons stated in those Sections, the restrictions in this Agreement are no broader than reasonably necessary to protect the Company’s legitimate business interests.</w:t>
      </w:r>
    </w:p>
    <w:p>
      <w:pPr>
        <w:pStyle w:val="FirstParagraph"/>
      </w:pPr>
      <w:r>
        <w:t xml:space="preserve">IN WITNESS WHEREOF, the Parties have executed this Agreement as of the date first written above.</w:t>
      </w:r>
    </w:p>
    <w:p>
      <w:pPr>
        <w:pStyle w:val="BodyText"/>
      </w:pPr>
      <w:r>
        <w:rPr>
          <w:b/>
          <w:bCs/>
        </w:rPr>
        <w:t xml:space="preserve">BRAMWELL SPECIALTY FOODS INC.</w:t>
      </w:r>
    </w:p>
    <w:p>
      <w:pPr>
        <w:pStyle w:val="BodyText"/>
      </w:pPr>
      <w:r>
        <w:t xml:space="preserve">By: _________________________________</w:t>
      </w:r>
      <w:r>
        <w:t xml:space="preserve"> </w:t>
      </w:r>
      <w:r>
        <w:t xml:space="preserve">Name: Harold Bramwell III</w:t>
      </w:r>
      <w:r>
        <w:t xml:space="preserve"> </w:t>
      </w:r>
      <w:r>
        <w:t xml:space="preserve">Title: President</w:t>
      </w:r>
      <w:r>
        <w:t xml:space="preserve"> </w:t>
      </w:r>
      <w:r>
        <w:t xml:space="preserve">Date: March 27, 2025</w:t>
      </w:r>
    </w:p>
    <w:p>
      <w:pPr>
        <w:pStyle w:val="BodyText"/>
      </w:pPr>
      <w:r>
        <w:rPr>
          <w:b/>
          <w:bCs/>
        </w:rPr>
        <w:t xml:space="preserve">EMPLOYEE</w:t>
      </w:r>
    </w:p>
    <w:p>
      <w:r>
        <w:pict>
          <v:rect style="width:0;height:1.5pt" o:hralign="center" o:hrstd="t" o:hr="t"/>
        </w:pict>
      </w:r>
    </w:p>
    <w:p>
      <w:pPr>
        <w:pStyle w:val="FirstParagraph"/>
      </w:pPr>
      <w:r>
        <w:t xml:space="preserve">Gina Esposito</w:t>
      </w:r>
      <w:r>
        <w:t xml:space="preserve"> </w:t>
      </w:r>
      <w:r>
        <w:t xml:space="preserve">Title: National Accounts Manager</w:t>
      </w:r>
      <w:r>
        <w:t xml:space="preserve"> </w:t>
      </w:r>
      <w:r>
        <w:t xml:space="preserve">Date: March 27, 2025</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2026-08-29T21:23:28Z</dcterms:created>
  <dcterms:modified xsi:type="dcterms:W3CDTF">2026-08-29T21:23:28Z</dcterms:modified>
</cp:coreProperties>
</file>

<file path=docProps/custom.xml><?xml version="1.0" encoding="utf-8"?>
<Properties xmlns="http://schemas.openxmlformats.org/officeDocument/2006/custom-properties" xmlns:vt="http://schemas.openxmlformats.org/officeDocument/2006/docPropsVTypes"/>
</file>