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rFonts w:ascii="Times New Roman" w:hAnsi="Times New Roman" w:eastAsia="Times New Roman" w:cs="Times New Roman"/>
          <w:b/>
          <w:sz w:val="48"/>
          <w:u w:val="none"/>
        </w:rPr>
        <w:t>TAB A</w:t>
      </w:r>
    </w:p>
    <w:p>
      <w:pPr>
        <w:spacing w:line="276" w:lineRule="auto"/>
        <w:jc w:val="left"/>
      </w:pPr>
    </w:p>
    <w:p>
      <w:pPr>
        <w:spacing w:line="276" w:lineRule="auto"/>
        <w:jc w:val="center"/>
      </w:pPr>
      <w:r>
        <w:rPr>
          <w:rFonts w:ascii="Times New Roman" w:hAnsi="Times New Roman" w:eastAsia="Times New Roman" w:cs="Times New Roman"/>
          <w:b w:val="0"/>
          <w:sz w:val="48"/>
          <w:u w:val="none"/>
        </w:rPr>
        <w:t>SUMMARY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