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494" w14:textId="01A6D9BF" w:rsidR="001D19BD" w:rsidRPr="007F5BB3" w:rsidRDefault="006F2826" w:rsidP="006F2826">
      <w:pPr>
        <w:jc w:val="center"/>
        <w:rPr>
          <w:rFonts w:cstheme="minorHAnsi"/>
          <w:b/>
          <w:bCs/>
          <w:sz w:val="24"/>
          <w:szCs w:val="24"/>
          <w:lang w:val="en-AU"/>
        </w:rPr>
      </w:pPr>
      <w:r w:rsidRPr="007F5BB3">
        <w:rPr>
          <w:rFonts w:cstheme="minorHAnsi"/>
          <w:b/>
          <w:bCs/>
          <w:sz w:val="24"/>
          <w:szCs w:val="24"/>
          <w:lang w:val="en-AU"/>
        </w:rPr>
        <w:t>Literature review</w:t>
      </w:r>
    </w:p>
    <w:p w14:paraId="76BABE52" w14:textId="77777777" w:rsidR="006F2826" w:rsidRPr="007F5BB3" w:rsidRDefault="006F2826">
      <w:pPr>
        <w:rPr>
          <w:rFonts w:cstheme="minorHAnsi"/>
          <w:b/>
          <w:bCs/>
          <w:sz w:val="24"/>
          <w:szCs w:val="24"/>
        </w:rPr>
      </w:pPr>
      <w:r w:rsidRPr="007F5BB3">
        <w:rPr>
          <w:rFonts w:cstheme="minorHAnsi"/>
          <w:b/>
          <w:bCs/>
          <w:sz w:val="24"/>
          <w:szCs w:val="24"/>
        </w:rPr>
        <w:t>A Global Survey of Scientific Consensus and Controversy on Instruments of Climate Policy</w:t>
      </w:r>
    </w:p>
    <w:p w14:paraId="7ED9A0B4" w14:textId="7619F3BC" w:rsidR="006F2826" w:rsidRPr="007F5BB3" w:rsidRDefault="006F2826">
      <w:pPr>
        <w:rPr>
          <w:rFonts w:cstheme="minorHAnsi"/>
          <w:sz w:val="24"/>
          <w:szCs w:val="24"/>
          <w:lang w:val="de-AT"/>
        </w:rPr>
      </w:pPr>
      <w:r w:rsidRPr="007F5BB3">
        <w:rPr>
          <w:rFonts w:cstheme="minorHAnsi"/>
          <w:sz w:val="24"/>
          <w:szCs w:val="24"/>
          <w:lang w:val="de-AT"/>
        </w:rPr>
        <w:t>Stefan Drews, Ivan Savin, Jeroen van den Bergh</w:t>
      </w:r>
    </w:p>
    <w:p w14:paraId="61CF9D87" w14:textId="5DE9D126" w:rsidR="00903F6B" w:rsidRPr="007F5BB3" w:rsidRDefault="00903F6B" w:rsidP="00903F6B">
      <w:pPr>
        <w:rPr>
          <w:rFonts w:cstheme="minorHAnsi"/>
          <w:b/>
          <w:bCs/>
          <w:i/>
          <w:iCs/>
          <w:sz w:val="24"/>
          <w:szCs w:val="24"/>
        </w:rPr>
      </w:pPr>
      <w:r w:rsidRPr="007F5BB3">
        <w:rPr>
          <w:rFonts w:cstheme="minorHAnsi"/>
          <w:b/>
          <w:bCs/>
          <w:i/>
          <w:iCs/>
          <w:sz w:val="24"/>
          <w:szCs w:val="24"/>
        </w:rPr>
        <w:t>Debate about effectiveness of climate policy</w:t>
      </w:r>
    </w:p>
    <w:p w14:paraId="441C15FD" w14:textId="281C5402" w:rsidR="006F2826" w:rsidRPr="007F5BB3" w:rsidRDefault="006F2826" w:rsidP="006F2826">
      <w:pPr>
        <w:pStyle w:val="ListParagraph"/>
        <w:numPr>
          <w:ilvl w:val="0"/>
          <w:numId w:val="1"/>
        </w:numPr>
        <w:rPr>
          <w:rFonts w:cstheme="minorHAnsi"/>
          <w:sz w:val="24"/>
          <w:szCs w:val="24"/>
        </w:rPr>
      </w:pPr>
      <w:r w:rsidRPr="007F5BB3">
        <w:rPr>
          <w:rFonts w:cstheme="minorHAnsi"/>
          <w:sz w:val="24"/>
          <w:szCs w:val="24"/>
        </w:rPr>
        <w:t>We survey researchers from diverse fields to examine views on climate policies</w:t>
      </w:r>
    </w:p>
    <w:p w14:paraId="01353B41" w14:textId="75D1A645" w:rsidR="006F2826" w:rsidRPr="007F5BB3" w:rsidRDefault="006F2826" w:rsidP="006F2826">
      <w:pPr>
        <w:pStyle w:val="ListParagraph"/>
        <w:numPr>
          <w:ilvl w:val="0"/>
          <w:numId w:val="1"/>
        </w:numPr>
        <w:rPr>
          <w:rFonts w:cstheme="minorHAnsi"/>
          <w:sz w:val="24"/>
          <w:szCs w:val="24"/>
        </w:rPr>
      </w:pPr>
      <w:r w:rsidRPr="007F5BB3">
        <w:rPr>
          <w:rFonts w:cstheme="minorHAnsi"/>
          <w:color w:val="1F1F1F"/>
          <w:sz w:val="24"/>
          <w:szCs w:val="24"/>
        </w:rPr>
        <w:t>There is continuing debate about which climate-policy instruments are most appropriate to reduce emissions</w:t>
      </w:r>
    </w:p>
    <w:p w14:paraId="03369C24" w14:textId="3A0FE693" w:rsidR="006F2826" w:rsidRPr="007F5BB3" w:rsidRDefault="006F2826" w:rsidP="006F2826">
      <w:pPr>
        <w:pStyle w:val="ListParagraph"/>
        <w:numPr>
          <w:ilvl w:val="0"/>
          <w:numId w:val="1"/>
        </w:numPr>
        <w:rPr>
          <w:rFonts w:cstheme="minorHAnsi"/>
          <w:sz w:val="24"/>
          <w:szCs w:val="24"/>
        </w:rPr>
      </w:pPr>
      <w:r w:rsidRPr="007F5BB3">
        <w:rPr>
          <w:rFonts w:cstheme="minorHAnsi"/>
          <w:color w:val="1F1F1F"/>
          <w:sz w:val="24"/>
          <w:szCs w:val="24"/>
        </w:rPr>
        <w:t>global survey among scientists who published on climate policy, we provide a systematic overview of (dis)agreements about six main types of policy instruments</w:t>
      </w:r>
    </w:p>
    <w:p w14:paraId="242516B0" w14:textId="067627CC" w:rsidR="006F2826" w:rsidRPr="007F5BB3" w:rsidRDefault="006F2826" w:rsidP="006F2826">
      <w:pPr>
        <w:pStyle w:val="ListParagraph"/>
        <w:numPr>
          <w:ilvl w:val="0"/>
          <w:numId w:val="1"/>
        </w:numPr>
        <w:rPr>
          <w:rFonts w:cstheme="minorHAnsi"/>
          <w:sz w:val="24"/>
          <w:szCs w:val="24"/>
        </w:rPr>
      </w:pPr>
      <w:r w:rsidRPr="007F5BB3">
        <w:rPr>
          <w:rFonts w:cstheme="minorHAnsi"/>
          <w:color w:val="1F1F1F"/>
          <w:sz w:val="24"/>
          <w:szCs w:val="24"/>
        </w:rPr>
        <w:t xml:space="preserve">on average, </w:t>
      </w:r>
      <w:r w:rsidRPr="007F5BB3">
        <w:rPr>
          <w:rFonts w:cstheme="minorHAnsi"/>
          <w:b/>
          <w:bCs/>
          <w:color w:val="1F1F1F"/>
          <w:sz w:val="24"/>
          <w:szCs w:val="24"/>
        </w:rPr>
        <w:t>all instruments are considered important</w:t>
      </w:r>
      <w:r w:rsidRPr="007F5BB3">
        <w:rPr>
          <w:rFonts w:cstheme="minorHAnsi"/>
          <w:color w:val="1F1F1F"/>
          <w:sz w:val="24"/>
          <w:szCs w:val="24"/>
        </w:rPr>
        <w:t>, with direct regulation receiving the highest rating and adoption subsidies and cap-and-trade the lowest</w:t>
      </w:r>
    </w:p>
    <w:p w14:paraId="00421007" w14:textId="5EC8FB64" w:rsidR="006F2826" w:rsidRPr="007F5BB3" w:rsidRDefault="006F2826" w:rsidP="00903F6B">
      <w:pPr>
        <w:pStyle w:val="ListParagraph"/>
        <w:numPr>
          <w:ilvl w:val="1"/>
          <w:numId w:val="1"/>
        </w:numPr>
        <w:rPr>
          <w:rFonts w:cstheme="minorHAnsi"/>
          <w:sz w:val="24"/>
          <w:szCs w:val="24"/>
        </w:rPr>
      </w:pPr>
      <w:r w:rsidRPr="007F5BB3">
        <w:rPr>
          <w:rFonts w:cstheme="minorHAnsi"/>
          <w:color w:val="1F1F1F"/>
          <w:sz w:val="24"/>
          <w:szCs w:val="24"/>
        </w:rPr>
        <w:t>We explain disagreement through assessing… researchers' attitudes and background</w:t>
      </w:r>
    </w:p>
    <w:p w14:paraId="2957C58D" w14:textId="20BCA16C" w:rsidR="006F2826" w:rsidRPr="007F5BB3" w:rsidRDefault="006F2826" w:rsidP="006F2826">
      <w:pPr>
        <w:pStyle w:val="ListParagraph"/>
        <w:numPr>
          <w:ilvl w:val="0"/>
          <w:numId w:val="1"/>
        </w:numPr>
        <w:rPr>
          <w:rFonts w:cstheme="minorHAnsi"/>
          <w:b/>
          <w:bCs/>
          <w:sz w:val="24"/>
          <w:szCs w:val="24"/>
        </w:rPr>
      </w:pPr>
      <w:r w:rsidRPr="007F5BB3">
        <w:rPr>
          <w:rFonts w:cstheme="minorHAnsi"/>
          <w:b/>
          <w:bCs/>
          <w:color w:val="1F1F1F"/>
          <w:sz w:val="24"/>
          <w:szCs w:val="24"/>
        </w:rPr>
        <w:t>it is contested which of these are best capable of reaching emission reduction targets</w:t>
      </w:r>
    </w:p>
    <w:p w14:paraId="0572D5F6" w14:textId="6F9F0DB2" w:rsidR="006F2826" w:rsidRPr="007F5BB3" w:rsidRDefault="006F2826" w:rsidP="006F2826">
      <w:pPr>
        <w:pStyle w:val="ListParagraph"/>
        <w:numPr>
          <w:ilvl w:val="0"/>
          <w:numId w:val="1"/>
        </w:numPr>
        <w:rPr>
          <w:rFonts w:cstheme="minorHAnsi"/>
          <w:sz w:val="24"/>
          <w:szCs w:val="24"/>
        </w:rPr>
      </w:pPr>
      <w:r w:rsidRPr="007F5BB3">
        <w:rPr>
          <w:rFonts w:cstheme="minorHAnsi"/>
          <w:color w:val="1F1F1F"/>
          <w:sz w:val="24"/>
          <w:szCs w:val="24"/>
        </w:rPr>
        <w:t>there is little systematic evidence on what scientists from a wide range of disciplines think about carbon pricing within a broader mix of climate mitigation policies</w:t>
      </w:r>
    </w:p>
    <w:p w14:paraId="7D8596AD" w14:textId="77777777" w:rsidR="00903F6B" w:rsidRPr="007F5BB3" w:rsidRDefault="00903F6B" w:rsidP="00903F6B">
      <w:pPr>
        <w:rPr>
          <w:rFonts w:cstheme="minorHAnsi"/>
          <w:sz w:val="24"/>
          <w:szCs w:val="24"/>
        </w:rPr>
      </w:pPr>
    </w:p>
    <w:p w14:paraId="14976A3A" w14:textId="77777777" w:rsidR="00903F6B" w:rsidRPr="007F5BB3" w:rsidRDefault="00903F6B" w:rsidP="00903F6B">
      <w:pPr>
        <w:rPr>
          <w:rFonts w:cstheme="minorHAnsi"/>
          <w:b/>
          <w:bCs/>
          <w:sz w:val="24"/>
          <w:szCs w:val="24"/>
        </w:rPr>
      </w:pPr>
      <w:r w:rsidRPr="007F5BB3">
        <w:rPr>
          <w:rFonts w:cstheme="minorHAnsi"/>
          <w:b/>
          <w:bCs/>
          <w:sz w:val="24"/>
          <w:szCs w:val="24"/>
        </w:rPr>
        <w:t>Systematic review of the outcomes and trade-offs of ten types of decarbonization policy instruments</w:t>
      </w:r>
    </w:p>
    <w:p w14:paraId="034A0EBC" w14:textId="0FD2FC21" w:rsidR="00903F6B" w:rsidRPr="007F5BB3" w:rsidRDefault="00903F6B" w:rsidP="00903F6B">
      <w:pPr>
        <w:rPr>
          <w:rFonts w:cstheme="minorHAnsi"/>
          <w:sz w:val="24"/>
          <w:szCs w:val="24"/>
          <w:lang w:val="de-AT"/>
        </w:rPr>
      </w:pPr>
      <w:r w:rsidRPr="007F5BB3">
        <w:rPr>
          <w:rFonts w:cstheme="minorHAnsi"/>
          <w:sz w:val="24"/>
          <w:szCs w:val="24"/>
          <w:lang w:val="de-AT"/>
        </w:rPr>
        <w:t>C Peñasco, LD Anadón, E Verdolini</w:t>
      </w:r>
    </w:p>
    <w:p w14:paraId="4A69F4DF" w14:textId="48D9F917" w:rsidR="00903F6B" w:rsidRPr="007F5BB3" w:rsidRDefault="00903F6B" w:rsidP="00903F6B">
      <w:pPr>
        <w:pStyle w:val="ListParagraph"/>
        <w:numPr>
          <w:ilvl w:val="0"/>
          <w:numId w:val="1"/>
        </w:numPr>
        <w:rPr>
          <w:rFonts w:cstheme="minorHAnsi"/>
          <w:b/>
          <w:bCs/>
          <w:sz w:val="24"/>
          <w:szCs w:val="24"/>
        </w:rPr>
      </w:pPr>
      <w:r w:rsidRPr="007F5BB3">
        <w:rPr>
          <w:rFonts w:cstheme="minorHAnsi"/>
          <w:b/>
          <w:bCs/>
          <w:sz w:val="24"/>
          <w:szCs w:val="24"/>
        </w:rPr>
        <w:t>The literature evaluating the technical and socioeconomic outcomes of policy instruments used to support the transition to low-carbon economies is neither easily accessible nor comparable and often provides conflicting results</w:t>
      </w:r>
    </w:p>
    <w:p w14:paraId="21EB959C" w14:textId="77777777" w:rsidR="00903F6B" w:rsidRPr="007F5BB3" w:rsidRDefault="00903F6B" w:rsidP="00903F6B">
      <w:pPr>
        <w:rPr>
          <w:rFonts w:cstheme="minorHAnsi"/>
          <w:b/>
          <w:bCs/>
          <w:sz w:val="24"/>
          <w:szCs w:val="24"/>
        </w:rPr>
      </w:pPr>
    </w:p>
    <w:p w14:paraId="416FC7B5" w14:textId="77777777" w:rsidR="00903F6B" w:rsidRPr="007F5BB3" w:rsidRDefault="00903F6B" w:rsidP="00903F6B">
      <w:pPr>
        <w:rPr>
          <w:rFonts w:cstheme="minorHAnsi"/>
          <w:b/>
          <w:bCs/>
          <w:sz w:val="24"/>
          <w:szCs w:val="24"/>
        </w:rPr>
      </w:pPr>
      <w:r w:rsidRPr="007F5BB3">
        <w:rPr>
          <w:rFonts w:cstheme="minorHAnsi"/>
          <w:b/>
          <w:bCs/>
          <w:sz w:val="24"/>
          <w:szCs w:val="24"/>
        </w:rPr>
        <w:t>Designing an effective climate-policy mix: accounting for instrument synergy</w:t>
      </w:r>
    </w:p>
    <w:p w14:paraId="194CC823" w14:textId="784D3F45" w:rsidR="00903F6B" w:rsidRPr="007F5BB3" w:rsidRDefault="00903F6B" w:rsidP="00903F6B">
      <w:pPr>
        <w:rPr>
          <w:rFonts w:cstheme="minorHAnsi"/>
          <w:sz w:val="24"/>
          <w:szCs w:val="24"/>
        </w:rPr>
      </w:pPr>
      <w:r w:rsidRPr="007F5BB3">
        <w:rPr>
          <w:rFonts w:cstheme="minorHAnsi"/>
          <w:sz w:val="24"/>
          <w:szCs w:val="24"/>
        </w:rPr>
        <w:t xml:space="preserve">J van den Bergh, J Castro, S Drews, F </w:t>
      </w:r>
      <w:proofErr w:type="spellStart"/>
      <w:r w:rsidRPr="007F5BB3">
        <w:rPr>
          <w:rFonts w:cstheme="minorHAnsi"/>
          <w:sz w:val="24"/>
          <w:szCs w:val="24"/>
        </w:rPr>
        <w:t>Exadaktylos</w:t>
      </w:r>
      <w:proofErr w:type="spellEnd"/>
      <w:r w:rsidRPr="007F5BB3">
        <w:rPr>
          <w:rFonts w:cstheme="minorHAnsi"/>
          <w:sz w:val="24"/>
          <w:szCs w:val="24"/>
        </w:rPr>
        <w:t xml:space="preserve">, J </w:t>
      </w:r>
      <w:proofErr w:type="spellStart"/>
      <w:r w:rsidRPr="007F5BB3">
        <w:rPr>
          <w:rFonts w:cstheme="minorHAnsi"/>
          <w:sz w:val="24"/>
          <w:szCs w:val="24"/>
        </w:rPr>
        <w:t>Foramitti</w:t>
      </w:r>
      <w:proofErr w:type="spellEnd"/>
      <w:r w:rsidRPr="007F5BB3">
        <w:rPr>
          <w:rFonts w:cstheme="minorHAnsi"/>
          <w:sz w:val="24"/>
          <w:szCs w:val="24"/>
        </w:rPr>
        <w:t xml:space="preserve">, F Klein, T </w:t>
      </w:r>
      <w:proofErr w:type="spellStart"/>
      <w:r w:rsidRPr="007F5BB3">
        <w:rPr>
          <w:rFonts w:cstheme="minorHAnsi"/>
          <w:sz w:val="24"/>
          <w:szCs w:val="24"/>
        </w:rPr>
        <w:t>Konc</w:t>
      </w:r>
      <w:proofErr w:type="spellEnd"/>
      <w:r w:rsidRPr="007F5BB3">
        <w:rPr>
          <w:rFonts w:cstheme="minorHAnsi"/>
          <w:sz w:val="24"/>
          <w:szCs w:val="24"/>
        </w:rPr>
        <w:t>, I Savin</w:t>
      </w:r>
    </w:p>
    <w:p w14:paraId="6604420E" w14:textId="796FB90F" w:rsidR="00903F6B" w:rsidRPr="007F5BB3" w:rsidRDefault="00903F6B" w:rsidP="00903F6B">
      <w:pPr>
        <w:pStyle w:val="ListParagraph"/>
        <w:numPr>
          <w:ilvl w:val="0"/>
          <w:numId w:val="1"/>
        </w:numPr>
        <w:rPr>
          <w:rFonts w:cstheme="minorHAnsi"/>
          <w:sz w:val="24"/>
          <w:szCs w:val="24"/>
        </w:rPr>
      </w:pPr>
      <w:r w:rsidRPr="007F5BB3">
        <w:rPr>
          <w:rFonts w:cstheme="minorHAnsi"/>
          <w:sz w:val="24"/>
          <w:szCs w:val="24"/>
        </w:rPr>
        <w:t>how interactions between instruments of climate policy affect overall emissions reduction</w:t>
      </w:r>
    </w:p>
    <w:p w14:paraId="1071EEBD" w14:textId="77777777" w:rsidR="00831463" w:rsidRPr="007F5BB3" w:rsidRDefault="00831463" w:rsidP="00831463">
      <w:pPr>
        <w:rPr>
          <w:rFonts w:cstheme="minorHAnsi"/>
          <w:sz w:val="24"/>
          <w:szCs w:val="24"/>
        </w:rPr>
      </w:pPr>
    </w:p>
    <w:p w14:paraId="1C32E09B" w14:textId="77777777" w:rsidR="001E3D13" w:rsidRPr="007F5BB3" w:rsidRDefault="001E3D13" w:rsidP="001E3D13">
      <w:pPr>
        <w:rPr>
          <w:rFonts w:cstheme="minorHAnsi"/>
          <w:b/>
          <w:bCs/>
          <w:sz w:val="24"/>
          <w:szCs w:val="24"/>
        </w:rPr>
      </w:pPr>
      <w:r w:rsidRPr="007F5BB3">
        <w:rPr>
          <w:rFonts w:cstheme="minorHAnsi"/>
          <w:b/>
          <w:bCs/>
          <w:sz w:val="24"/>
          <w:szCs w:val="24"/>
        </w:rPr>
        <w:t>A comprehensive socio-economic assessment of EU climate policy pathways</w:t>
      </w:r>
    </w:p>
    <w:p w14:paraId="10ED2E07" w14:textId="41283924" w:rsidR="00831463" w:rsidRPr="007F5BB3" w:rsidRDefault="001E3D13" w:rsidP="001E3D13">
      <w:pPr>
        <w:rPr>
          <w:rFonts w:cstheme="minorHAnsi"/>
          <w:sz w:val="24"/>
          <w:szCs w:val="24"/>
        </w:rPr>
      </w:pPr>
      <w:r w:rsidRPr="007F5BB3">
        <w:rPr>
          <w:rFonts w:cstheme="minorHAnsi"/>
          <w:sz w:val="24"/>
          <w:szCs w:val="24"/>
        </w:rPr>
        <w:t xml:space="preserve">Matthias Weitzel a, Toon Vandyck a, Luis Rey Los Santos a, Marie Tamba a, Umed </w:t>
      </w:r>
      <w:proofErr w:type="spellStart"/>
      <w:r w:rsidRPr="007F5BB3">
        <w:rPr>
          <w:rFonts w:cstheme="minorHAnsi"/>
          <w:sz w:val="24"/>
          <w:szCs w:val="24"/>
        </w:rPr>
        <w:t>Temursho</w:t>
      </w:r>
      <w:proofErr w:type="spellEnd"/>
      <w:r w:rsidRPr="007F5BB3">
        <w:rPr>
          <w:rFonts w:cstheme="minorHAnsi"/>
          <w:sz w:val="24"/>
          <w:szCs w:val="24"/>
        </w:rPr>
        <w:t xml:space="preserve"> b c, Krzysztof Wojtowicz</w:t>
      </w:r>
    </w:p>
    <w:p w14:paraId="40C2F42D" w14:textId="5855A999" w:rsidR="00831463" w:rsidRPr="007F5BB3" w:rsidRDefault="00831463" w:rsidP="00831463">
      <w:pPr>
        <w:pStyle w:val="ListParagraph"/>
        <w:numPr>
          <w:ilvl w:val="0"/>
          <w:numId w:val="1"/>
        </w:numPr>
        <w:rPr>
          <w:rFonts w:cstheme="minorHAnsi"/>
          <w:sz w:val="24"/>
          <w:szCs w:val="24"/>
        </w:rPr>
      </w:pPr>
      <w:r w:rsidRPr="007F5BB3">
        <w:rPr>
          <w:rFonts w:cstheme="minorHAnsi"/>
          <w:sz w:val="24"/>
          <w:szCs w:val="24"/>
        </w:rPr>
        <w:t xml:space="preserve">In 2019, the European Commission announced the “European Green Deal”, with a core target of reaching climate neutrality by 2050 (European Commission, 2019). To </w:t>
      </w:r>
      <w:r w:rsidRPr="007F5BB3">
        <w:rPr>
          <w:rFonts w:cstheme="minorHAnsi"/>
          <w:sz w:val="24"/>
          <w:szCs w:val="24"/>
        </w:rPr>
        <w:lastRenderedPageBreak/>
        <w:t xml:space="preserve">make the near-term emission pathway compatible with this new long-term goal, the European Commission in 2020 proposed to strengthen the existing emission reduction target for </w:t>
      </w:r>
      <w:proofErr w:type="gramStart"/>
      <w:r w:rsidRPr="007F5BB3">
        <w:rPr>
          <w:rFonts w:cstheme="minorHAnsi"/>
          <w:sz w:val="24"/>
          <w:szCs w:val="24"/>
        </w:rPr>
        <w:t>2030, and</w:t>
      </w:r>
      <w:proofErr w:type="gramEnd"/>
      <w:r w:rsidRPr="007F5BB3">
        <w:rPr>
          <w:rFonts w:cstheme="minorHAnsi"/>
          <w:sz w:val="24"/>
          <w:szCs w:val="24"/>
        </w:rPr>
        <w:t xml:space="preserve"> laid out various policy design options that would enable reaching the more stringent target. In late 2020, the European Council backed the proposal of the European Commission to reduce emissions in 2030 by 55% relative to 1990, also becoming Europe's updated Nationally Determined Contribution (NDC) under the Paris Agreement.</w:t>
      </w:r>
    </w:p>
    <w:p w14:paraId="3430C7A8" w14:textId="05143775" w:rsidR="00831463" w:rsidRPr="007F5BB3" w:rsidRDefault="00831463" w:rsidP="00831463">
      <w:pPr>
        <w:pStyle w:val="ListParagraph"/>
        <w:numPr>
          <w:ilvl w:val="0"/>
          <w:numId w:val="1"/>
        </w:numPr>
        <w:rPr>
          <w:rFonts w:cstheme="minorHAnsi"/>
          <w:sz w:val="24"/>
          <w:szCs w:val="24"/>
        </w:rPr>
      </w:pPr>
      <w:r w:rsidRPr="007F5BB3">
        <w:rPr>
          <w:rFonts w:cstheme="minorHAnsi"/>
          <w:sz w:val="24"/>
          <w:szCs w:val="24"/>
        </w:rPr>
        <w:t xml:space="preserve">For initiatives with significant economic, </w:t>
      </w:r>
      <w:proofErr w:type="gramStart"/>
      <w:r w:rsidRPr="007F5BB3">
        <w:rPr>
          <w:rFonts w:cstheme="minorHAnsi"/>
          <w:sz w:val="24"/>
          <w:szCs w:val="24"/>
        </w:rPr>
        <w:t>social</w:t>
      </w:r>
      <w:proofErr w:type="gramEnd"/>
      <w:r w:rsidRPr="007F5BB3">
        <w:rPr>
          <w:rFonts w:cstheme="minorHAnsi"/>
          <w:sz w:val="24"/>
          <w:szCs w:val="24"/>
        </w:rPr>
        <w:t xml:space="preserve"> or environmental consequences, the European Commission carries out impact assessments. For instance, an in-depth analysis on the European Union's (EU) long-term strategy “A clean planet for all” was carried out to support the EU's net zero target for 2050 (European Commission, 2018), as further documented by Weitzel et al. (2019a). To ensure a smooth transition towards this new long term target, the European Commission consequently revisited the interim target for 2030, as the original 2030 target of a 40% reduction of greenhouse gas emissions below 1990 levels had been set in 2014, aiming for a long-term target of reducing emissions by 80–95% in 2050.1 Further, current policy pathways indicated an overachievement of this 2030 target, particularly due to </w:t>
      </w:r>
      <w:proofErr w:type="spellStart"/>
      <w:r w:rsidRPr="007F5BB3">
        <w:rPr>
          <w:rFonts w:cstheme="minorHAnsi"/>
          <w:sz w:val="24"/>
          <w:szCs w:val="24"/>
        </w:rPr>
        <w:t>decarbonisation</w:t>
      </w:r>
      <w:proofErr w:type="spellEnd"/>
      <w:r w:rsidRPr="007F5BB3">
        <w:rPr>
          <w:rFonts w:cstheme="minorHAnsi"/>
          <w:sz w:val="24"/>
          <w:szCs w:val="24"/>
        </w:rPr>
        <w:t xml:space="preserve"> dynamics in the power sector and lower coal use, as well as the assumed achievement of the energy efficiency target (European Commission, 2020a). The combination of strong policies in place and a stricter long-term target called for a “ratcheting up” of the EU NDC, in line with the architecture set up in the Paris Agreement to revisit the NDC targets periodically. The proposed adjustment was announced as the “2030 Climate Target Plan” and was supported by a research-based impact assessment, including an analysis of socio-economic consequences arising from an increased EU climate ambition (European Commission, 2020a).</w:t>
      </w:r>
    </w:p>
    <w:p w14:paraId="258F6752" w14:textId="438292B0" w:rsidR="007D1AE9" w:rsidRPr="007F5BB3" w:rsidRDefault="007D1AE9">
      <w:pPr>
        <w:rPr>
          <w:rFonts w:cstheme="minorHAnsi"/>
          <w:sz w:val="24"/>
          <w:szCs w:val="24"/>
        </w:rPr>
      </w:pPr>
      <w:r w:rsidRPr="007F5BB3">
        <w:rPr>
          <w:rFonts w:cstheme="minorHAnsi"/>
          <w:sz w:val="24"/>
          <w:szCs w:val="24"/>
        </w:rPr>
        <w:br w:type="page"/>
      </w:r>
    </w:p>
    <w:p w14:paraId="03424D26" w14:textId="6F277B76" w:rsidR="007D1AE9" w:rsidRPr="007F5BB3" w:rsidRDefault="007D1AE9" w:rsidP="007D1AE9">
      <w:pPr>
        <w:jc w:val="center"/>
        <w:rPr>
          <w:rFonts w:cstheme="minorHAnsi"/>
          <w:b/>
          <w:bCs/>
          <w:sz w:val="24"/>
          <w:szCs w:val="24"/>
        </w:rPr>
      </w:pPr>
      <w:r w:rsidRPr="007F5BB3">
        <w:rPr>
          <w:rFonts w:cstheme="minorHAnsi"/>
          <w:b/>
          <w:bCs/>
          <w:sz w:val="24"/>
          <w:szCs w:val="24"/>
        </w:rPr>
        <w:lastRenderedPageBreak/>
        <w:t>EUROPEAN CLIMATE POLICY</w:t>
      </w:r>
    </w:p>
    <w:p w14:paraId="311DCB65" w14:textId="103BE6A7" w:rsidR="007D1AE9" w:rsidRPr="007F5BB3" w:rsidRDefault="007D1AE9" w:rsidP="007D1AE9">
      <w:pPr>
        <w:rPr>
          <w:rFonts w:cstheme="minorHAnsi"/>
          <w:sz w:val="24"/>
          <w:szCs w:val="24"/>
        </w:rPr>
      </w:pPr>
      <w:r w:rsidRPr="007F5BB3">
        <w:rPr>
          <w:rFonts w:cstheme="minorHAnsi"/>
          <w:b/>
          <w:bCs/>
          <w:sz w:val="24"/>
          <w:szCs w:val="24"/>
        </w:rPr>
        <w:t>Key policies</w:t>
      </w:r>
    </w:p>
    <w:p w14:paraId="2870F38B" w14:textId="5D3886B7" w:rsidR="007D1AE9" w:rsidRPr="007F5BB3" w:rsidRDefault="00A02654" w:rsidP="007D1AE9">
      <w:pPr>
        <w:pStyle w:val="ListParagraph"/>
        <w:numPr>
          <w:ilvl w:val="0"/>
          <w:numId w:val="1"/>
        </w:numPr>
        <w:rPr>
          <w:rFonts w:cstheme="minorHAnsi"/>
          <w:sz w:val="24"/>
          <w:szCs w:val="24"/>
        </w:rPr>
      </w:pPr>
      <w:r w:rsidRPr="007F5BB3">
        <w:rPr>
          <w:rFonts w:cstheme="minorHAnsi"/>
          <w:b/>
          <w:bCs/>
          <w:sz w:val="24"/>
          <w:szCs w:val="24"/>
        </w:rPr>
        <w:t>European Green Deal</w:t>
      </w:r>
      <w:r w:rsidRPr="007F5BB3">
        <w:rPr>
          <w:rFonts w:cstheme="minorHAnsi"/>
          <w:sz w:val="24"/>
          <w:szCs w:val="24"/>
        </w:rPr>
        <w:t xml:space="preserve"> - Their goal is to make the EU climate neutral by 2050</w:t>
      </w:r>
    </w:p>
    <w:p w14:paraId="6BA57BAC" w14:textId="1920C7EC" w:rsidR="008D5B7E" w:rsidRPr="007F5BB3" w:rsidRDefault="008D5B7E" w:rsidP="008D5B7E">
      <w:pPr>
        <w:pStyle w:val="ListParagraph"/>
        <w:numPr>
          <w:ilvl w:val="1"/>
          <w:numId w:val="1"/>
        </w:numPr>
        <w:rPr>
          <w:rFonts w:cstheme="minorHAnsi"/>
          <w:sz w:val="24"/>
          <w:szCs w:val="24"/>
        </w:rPr>
      </w:pPr>
      <w:r w:rsidRPr="007F5BB3">
        <w:rPr>
          <w:rFonts w:cstheme="minorHAnsi"/>
          <w:sz w:val="24"/>
          <w:szCs w:val="24"/>
        </w:rPr>
        <w:t>Dec 2019 – European Council agreed</w:t>
      </w:r>
    </w:p>
    <w:p w14:paraId="1CB7EC3F" w14:textId="797FCE2A" w:rsidR="00875ADF" w:rsidRPr="007F5BB3" w:rsidRDefault="00C66291" w:rsidP="008D5B7E">
      <w:pPr>
        <w:pStyle w:val="ListParagraph"/>
        <w:numPr>
          <w:ilvl w:val="1"/>
          <w:numId w:val="1"/>
        </w:numPr>
        <w:rPr>
          <w:rFonts w:cstheme="minorHAnsi"/>
          <w:sz w:val="24"/>
          <w:szCs w:val="24"/>
        </w:rPr>
      </w:pPr>
      <w:proofErr w:type="gramStart"/>
      <w:r w:rsidRPr="007F5BB3">
        <w:rPr>
          <w:rFonts w:cstheme="minorHAnsi"/>
          <w:sz w:val="24"/>
          <w:szCs w:val="24"/>
        </w:rPr>
        <w:t>Also</w:t>
      </w:r>
      <w:proofErr w:type="gramEnd"/>
      <w:r w:rsidRPr="007F5BB3">
        <w:rPr>
          <w:rFonts w:cstheme="minorHAnsi"/>
          <w:sz w:val="24"/>
          <w:szCs w:val="24"/>
        </w:rPr>
        <w:t xml:space="preserve"> legislation on adaptation, biodiversity, agriculture, circular economy, waste, etc.</w:t>
      </w:r>
    </w:p>
    <w:p w14:paraId="23629FEC" w14:textId="2F93C57C" w:rsidR="00620A18" w:rsidRPr="007F5BB3" w:rsidRDefault="00620A18" w:rsidP="00620A18">
      <w:pPr>
        <w:pStyle w:val="ListParagraph"/>
        <w:numPr>
          <w:ilvl w:val="0"/>
          <w:numId w:val="1"/>
        </w:numPr>
        <w:rPr>
          <w:rFonts w:cstheme="minorHAnsi"/>
          <w:sz w:val="24"/>
          <w:szCs w:val="24"/>
        </w:rPr>
      </w:pPr>
      <w:r w:rsidRPr="007F5BB3">
        <w:rPr>
          <w:rFonts w:cstheme="minorHAnsi"/>
          <w:sz w:val="24"/>
          <w:szCs w:val="24"/>
        </w:rPr>
        <w:t xml:space="preserve">Dec 2020 </w:t>
      </w:r>
      <w:r w:rsidR="00E21B18" w:rsidRPr="007F5BB3">
        <w:rPr>
          <w:rFonts w:cstheme="minorHAnsi"/>
          <w:sz w:val="24"/>
          <w:szCs w:val="24"/>
        </w:rPr>
        <w:t>–</w:t>
      </w:r>
      <w:r w:rsidRPr="007F5BB3">
        <w:rPr>
          <w:rFonts w:cstheme="minorHAnsi"/>
          <w:sz w:val="24"/>
          <w:szCs w:val="24"/>
        </w:rPr>
        <w:t xml:space="preserve"> </w:t>
      </w:r>
      <w:r w:rsidR="00E21B18" w:rsidRPr="007F5BB3">
        <w:rPr>
          <w:rFonts w:cstheme="minorHAnsi"/>
          <w:sz w:val="24"/>
          <w:szCs w:val="24"/>
        </w:rPr>
        <w:t>55% by 2030 agreed</w:t>
      </w:r>
    </w:p>
    <w:p w14:paraId="64910ADA" w14:textId="10FF9315" w:rsidR="0030522A" w:rsidRPr="007F5BB3" w:rsidRDefault="0030522A" w:rsidP="0030522A">
      <w:pPr>
        <w:pStyle w:val="ListParagraph"/>
        <w:numPr>
          <w:ilvl w:val="0"/>
          <w:numId w:val="1"/>
        </w:numPr>
        <w:rPr>
          <w:rFonts w:cstheme="minorHAnsi"/>
          <w:sz w:val="24"/>
          <w:szCs w:val="24"/>
        </w:rPr>
      </w:pPr>
      <w:r w:rsidRPr="007F5BB3">
        <w:rPr>
          <w:rFonts w:cstheme="minorHAnsi"/>
          <w:sz w:val="24"/>
          <w:szCs w:val="24"/>
        </w:rPr>
        <w:t xml:space="preserve">July 2021, the </w:t>
      </w:r>
      <w:r w:rsidRPr="007F5BB3">
        <w:rPr>
          <w:rFonts w:cstheme="minorHAnsi"/>
          <w:b/>
          <w:bCs/>
          <w:sz w:val="24"/>
          <w:szCs w:val="24"/>
        </w:rPr>
        <w:t>European climate law</w:t>
      </w:r>
      <w:r w:rsidRPr="007F5BB3">
        <w:rPr>
          <w:rFonts w:cstheme="minorHAnsi"/>
          <w:sz w:val="24"/>
          <w:szCs w:val="24"/>
        </w:rPr>
        <w:t xml:space="preserve"> – a key element of the European Green Deal – entered into force, one month after the Council had adopted it. EU countries are now legally obliged to reach both the 2030 and 2050 climate goals</w:t>
      </w:r>
    </w:p>
    <w:p w14:paraId="0003546F" w14:textId="1ACAC56C" w:rsidR="00D3487D" w:rsidRPr="007F5BB3" w:rsidRDefault="00D3487D" w:rsidP="00D3487D">
      <w:pPr>
        <w:pStyle w:val="ListParagraph"/>
        <w:numPr>
          <w:ilvl w:val="1"/>
          <w:numId w:val="1"/>
        </w:numPr>
        <w:rPr>
          <w:rFonts w:cstheme="minorHAnsi"/>
          <w:sz w:val="24"/>
          <w:szCs w:val="24"/>
        </w:rPr>
      </w:pPr>
      <w:r w:rsidRPr="007F5BB3">
        <w:rPr>
          <w:rFonts w:cstheme="minorHAnsi"/>
          <w:sz w:val="24"/>
          <w:szCs w:val="24"/>
        </w:rPr>
        <w:t>Under the European climate law, EU countries must cut greenhouse gas emissions by at least 55% by 2030</w:t>
      </w:r>
    </w:p>
    <w:p w14:paraId="3F0649E0" w14:textId="27FB7E16" w:rsidR="009B5CF6" w:rsidRPr="00EE4987" w:rsidRDefault="00C66291" w:rsidP="009B5CF6">
      <w:pPr>
        <w:pStyle w:val="ListParagraph"/>
        <w:numPr>
          <w:ilvl w:val="1"/>
          <w:numId w:val="1"/>
        </w:numPr>
        <w:rPr>
          <w:rFonts w:cstheme="minorHAnsi"/>
          <w:sz w:val="24"/>
          <w:szCs w:val="24"/>
        </w:rPr>
      </w:pPr>
      <w:r w:rsidRPr="007F5BB3">
        <w:rPr>
          <w:rFonts w:cstheme="minorHAnsi"/>
          <w:color w:val="3F4A52"/>
          <w:sz w:val="24"/>
          <w:szCs w:val="24"/>
          <w:shd w:val="clear" w:color="auto" w:fill="FFFFFF"/>
        </w:rPr>
        <w:t>By adopting it, the EU and its member states committed to cutting net greenhouse gas emissions in the EU by </w:t>
      </w:r>
      <w:r w:rsidRPr="007F5BB3">
        <w:rPr>
          <w:rStyle w:val="Strong"/>
          <w:rFonts w:cstheme="minorHAnsi"/>
          <w:color w:val="3F4A52"/>
          <w:sz w:val="24"/>
          <w:szCs w:val="24"/>
          <w:shd w:val="clear" w:color="auto" w:fill="FFFFFF"/>
        </w:rPr>
        <w:t>at least 55% by 2030</w:t>
      </w:r>
      <w:r w:rsidRPr="007F5BB3">
        <w:rPr>
          <w:rFonts w:cstheme="minorHAnsi"/>
          <w:color w:val="3F4A52"/>
          <w:sz w:val="24"/>
          <w:szCs w:val="24"/>
          <w:shd w:val="clear" w:color="auto" w:fill="FFFFFF"/>
        </w:rPr>
        <w:t>, compared to 1990 levels. This target is legally binding and based on an impact assessment carried out by the Commission.</w:t>
      </w:r>
    </w:p>
    <w:p w14:paraId="41568975" w14:textId="77777777" w:rsidR="00D02993" w:rsidRPr="007F5BB3" w:rsidRDefault="00D02993" w:rsidP="00D02993">
      <w:pPr>
        <w:pStyle w:val="ListParagraph"/>
        <w:numPr>
          <w:ilvl w:val="0"/>
          <w:numId w:val="1"/>
        </w:numPr>
        <w:rPr>
          <w:rFonts w:cstheme="minorHAnsi"/>
          <w:sz w:val="24"/>
          <w:szCs w:val="24"/>
        </w:rPr>
      </w:pPr>
      <w:r w:rsidRPr="007F5BB3">
        <w:rPr>
          <w:rFonts w:cstheme="minorHAnsi"/>
          <w:sz w:val="24"/>
          <w:szCs w:val="24"/>
        </w:rPr>
        <w:t>Fit for 55 – set of proposals to revise and update EU legislation</w:t>
      </w:r>
    </w:p>
    <w:p w14:paraId="2FE432F5" w14:textId="77777777" w:rsidR="00D02993" w:rsidRPr="007F5BB3" w:rsidRDefault="00D02993" w:rsidP="00D02993">
      <w:pPr>
        <w:pStyle w:val="ListParagraph"/>
        <w:numPr>
          <w:ilvl w:val="1"/>
          <w:numId w:val="1"/>
        </w:numPr>
        <w:rPr>
          <w:rFonts w:cstheme="minorHAnsi"/>
          <w:sz w:val="24"/>
          <w:szCs w:val="24"/>
        </w:rPr>
      </w:pPr>
      <w:r w:rsidRPr="007F5BB3">
        <w:rPr>
          <w:rFonts w:cstheme="minorHAnsi"/>
          <w:sz w:val="24"/>
          <w:szCs w:val="24"/>
        </w:rPr>
        <w:t>i.e. put the green deal into law (</w:t>
      </w:r>
      <w:r w:rsidRPr="007F5BB3">
        <w:rPr>
          <w:rFonts w:cstheme="minorHAnsi"/>
          <w:color w:val="3F4A52"/>
          <w:sz w:val="24"/>
          <w:szCs w:val="24"/>
          <w:shd w:val="clear" w:color="auto" w:fill="FFFFFF"/>
        </w:rPr>
        <w:t>climate-, energy- and transport-related legislation)</w:t>
      </w:r>
    </w:p>
    <w:p w14:paraId="649A1D71" w14:textId="38C5D534" w:rsidR="00AB6BED" w:rsidRPr="007F5BB3" w:rsidRDefault="00AB6BED" w:rsidP="00AB6BED">
      <w:pPr>
        <w:pStyle w:val="ListParagraph"/>
        <w:numPr>
          <w:ilvl w:val="0"/>
          <w:numId w:val="1"/>
        </w:numPr>
        <w:rPr>
          <w:rFonts w:cstheme="minorHAnsi"/>
          <w:sz w:val="24"/>
          <w:szCs w:val="24"/>
        </w:rPr>
      </w:pPr>
      <w:r w:rsidRPr="007F5BB3">
        <w:rPr>
          <w:rFonts w:cstheme="minorHAnsi"/>
          <w:color w:val="3A494F"/>
          <w:sz w:val="24"/>
          <w:szCs w:val="24"/>
          <w:shd w:val="clear" w:color="auto" w:fill="FFFFFF"/>
        </w:rPr>
        <w:t xml:space="preserve">October 2023, the EU submitted an </w:t>
      </w:r>
      <w:r w:rsidRPr="007F5BB3">
        <w:rPr>
          <w:rFonts w:cstheme="minorHAnsi"/>
          <w:b/>
          <w:bCs/>
          <w:color w:val="3A494F"/>
          <w:sz w:val="24"/>
          <w:szCs w:val="24"/>
          <w:shd w:val="clear" w:color="auto" w:fill="FFFFFF"/>
        </w:rPr>
        <w:t>updated NDC</w:t>
      </w:r>
      <w:r w:rsidRPr="007F5BB3">
        <w:rPr>
          <w:rFonts w:cstheme="minorHAnsi"/>
          <w:color w:val="3A494F"/>
          <w:sz w:val="24"/>
          <w:szCs w:val="24"/>
          <w:shd w:val="clear" w:color="auto" w:fill="FFFFFF"/>
        </w:rPr>
        <w:t>. The target of reducing emissions by at least 55% below 1990 levels by 2030 (incl. LULUCF and international aviation) is the same as the previous EU NDC from December 2020.</w:t>
      </w:r>
    </w:p>
    <w:p w14:paraId="4627CCF1" w14:textId="71511CA1" w:rsidR="0051755B" w:rsidRPr="007F5BB3" w:rsidRDefault="0051755B" w:rsidP="0051755B">
      <w:pPr>
        <w:pStyle w:val="ListParagraph"/>
        <w:numPr>
          <w:ilvl w:val="0"/>
          <w:numId w:val="1"/>
        </w:numPr>
        <w:rPr>
          <w:rFonts w:cstheme="minorHAnsi"/>
          <w:sz w:val="24"/>
          <w:szCs w:val="24"/>
        </w:rPr>
      </w:pPr>
      <w:r w:rsidRPr="007F5BB3">
        <w:rPr>
          <w:rFonts w:cstheme="minorHAnsi"/>
          <w:sz w:val="24"/>
          <w:szCs w:val="24"/>
        </w:rPr>
        <w:t>EU emissions trading system</w:t>
      </w:r>
    </w:p>
    <w:p w14:paraId="2C3383F9" w14:textId="3D41873F" w:rsidR="00D02993" w:rsidRPr="007F5BB3" w:rsidRDefault="00D02993" w:rsidP="00D02993">
      <w:pPr>
        <w:pStyle w:val="ListParagraph"/>
        <w:numPr>
          <w:ilvl w:val="1"/>
          <w:numId w:val="1"/>
        </w:numPr>
        <w:rPr>
          <w:rFonts w:cstheme="minorHAnsi"/>
          <w:sz w:val="24"/>
          <w:szCs w:val="24"/>
        </w:rPr>
      </w:pPr>
      <w:r w:rsidRPr="007F5BB3">
        <w:rPr>
          <w:rStyle w:val="Strong"/>
          <w:rFonts w:cstheme="minorHAnsi"/>
          <w:color w:val="3F4A52"/>
          <w:sz w:val="24"/>
          <w:szCs w:val="24"/>
          <w:shd w:val="clear" w:color="auto" w:fill="FFFFFF"/>
        </w:rPr>
        <w:t>carbon market</w:t>
      </w:r>
      <w:r w:rsidRPr="007F5BB3">
        <w:rPr>
          <w:rFonts w:cstheme="minorHAnsi"/>
          <w:color w:val="3F4A52"/>
          <w:sz w:val="24"/>
          <w:szCs w:val="24"/>
          <w:shd w:val="clear" w:color="auto" w:fill="FFFFFF"/>
        </w:rPr>
        <w:t> based on a system of cap-and-trade of emission allowances for energy-intensive industries and the power generation sector. It is the EU's </w:t>
      </w:r>
      <w:r w:rsidRPr="007F5BB3">
        <w:rPr>
          <w:rStyle w:val="Strong"/>
          <w:rFonts w:cstheme="minorHAnsi"/>
          <w:color w:val="3F4A52"/>
          <w:sz w:val="24"/>
          <w:szCs w:val="24"/>
          <w:shd w:val="clear" w:color="auto" w:fill="FFFFFF"/>
        </w:rPr>
        <w:t>main tool in addressing emissions reductions</w:t>
      </w:r>
      <w:r w:rsidRPr="007F5BB3">
        <w:rPr>
          <w:rFonts w:cstheme="minorHAnsi"/>
          <w:color w:val="3F4A52"/>
          <w:sz w:val="24"/>
          <w:szCs w:val="24"/>
          <w:shd w:val="clear" w:color="auto" w:fill="FFFFFF"/>
        </w:rPr>
        <w:t>.</w:t>
      </w:r>
    </w:p>
    <w:p w14:paraId="139AB0CE" w14:textId="2D6B248A" w:rsidR="0038522B" w:rsidRPr="007F5BB3" w:rsidRDefault="0038522B" w:rsidP="00D02993">
      <w:pPr>
        <w:pStyle w:val="ListParagraph"/>
        <w:numPr>
          <w:ilvl w:val="1"/>
          <w:numId w:val="1"/>
        </w:numPr>
        <w:rPr>
          <w:rFonts w:cstheme="minorHAnsi"/>
          <w:sz w:val="24"/>
          <w:szCs w:val="24"/>
        </w:rPr>
      </w:pPr>
      <w:r w:rsidRPr="007F5BB3">
        <w:rPr>
          <w:rFonts w:cstheme="minorHAnsi"/>
          <w:color w:val="3F4A52"/>
          <w:sz w:val="24"/>
          <w:szCs w:val="24"/>
          <w:shd w:val="clear" w:color="auto" w:fill="FFFFFF"/>
        </w:rPr>
        <w:t>Since its introduction in 2005, the EU's emissions have decreased by 41%</w:t>
      </w:r>
    </w:p>
    <w:p w14:paraId="0A915C83" w14:textId="44857D9A" w:rsidR="0038522B" w:rsidRPr="007F5BB3" w:rsidRDefault="0038522B" w:rsidP="00D02993">
      <w:pPr>
        <w:pStyle w:val="ListParagraph"/>
        <w:numPr>
          <w:ilvl w:val="1"/>
          <w:numId w:val="1"/>
        </w:numPr>
        <w:rPr>
          <w:rFonts w:cstheme="minorHAnsi"/>
          <w:sz w:val="24"/>
          <w:szCs w:val="24"/>
        </w:rPr>
      </w:pPr>
      <w:r w:rsidRPr="007F5BB3">
        <w:rPr>
          <w:rFonts w:cstheme="minorHAnsi"/>
          <w:color w:val="3F4A52"/>
          <w:sz w:val="24"/>
          <w:szCs w:val="24"/>
          <w:shd w:val="clear" w:color="auto" w:fill="FFFFFF"/>
        </w:rPr>
        <w:t xml:space="preserve">Aim to make this more ambitious under the Fit for 55 </w:t>
      </w:r>
      <w:proofErr w:type="gramStart"/>
      <w:r w:rsidRPr="007F5BB3">
        <w:rPr>
          <w:rFonts w:cstheme="minorHAnsi"/>
          <w:color w:val="3F4A52"/>
          <w:sz w:val="24"/>
          <w:szCs w:val="24"/>
          <w:shd w:val="clear" w:color="auto" w:fill="FFFFFF"/>
        </w:rPr>
        <w:t>package</w:t>
      </w:r>
      <w:proofErr w:type="gramEnd"/>
    </w:p>
    <w:p w14:paraId="095A5630" w14:textId="77777777" w:rsidR="00042FDE" w:rsidRPr="007F5BB3" w:rsidRDefault="00042FDE" w:rsidP="00042FDE">
      <w:pPr>
        <w:pStyle w:val="ListParagraph"/>
        <w:numPr>
          <w:ilvl w:val="1"/>
          <w:numId w:val="1"/>
        </w:numPr>
        <w:rPr>
          <w:rFonts w:cstheme="minorHAnsi"/>
          <w:sz w:val="24"/>
          <w:szCs w:val="24"/>
        </w:rPr>
      </w:pPr>
      <w:r w:rsidRPr="007F5BB3">
        <w:rPr>
          <w:rFonts w:cstheme="minorHAnsi"/>
          <w:sz w:val="24"/>
          <w:szCs w:val="24"/>
        </w:rPr>
        <w:t xml:space="preserve">The Environment Council adopted a general approach on the revision of the EU ETS in June 2022. In December 2022, the Council reached a provisional deal with the European Parliament. This includes an increase in the overall ambition of emissions reductions by 2030 in the sectors covered by the EU ETS to 62%, compared to the 61% target proposed by the Commission. </w:t>
      </w:r>
    </w:p>
    <w:p w14:paraId="6F8EE9BA" w14:textId="214C7A68" w:rsidR="00042FDE" w:rsidRPr="007F5BB3" w:rsidRDefault="006A2653" w:rsidP="007076AB">
      <w:pPr>
        <w:pStyle w:val="ListParagraph"/>
        <w:numPr>
          <w:ilvl w:val="0"/>
          <w:numId w:val="1"/>
        </w:numPr>
        <w:rPr>
          <w:rFonts w:cstheme="minorHAnsi"/>
          <w:sz w:val="24"/>
          <w:szCs w:val="24"/>
        </w:rPr>
      </w:pPr>
      <w:r w:rsidRPr="007F5BB3">
        <w:rPr>
          <w:rFonts w:cstheme="minorHAnsi"/>
          <w:sz w:val="24"/>
          <w:szCs w:val="24"/>
        </w:rPr>
        <w:t>National binding targets for emissions reductions in sectors not included in the EU-ETS</w:t>
      </w:r>
    </w:p>
    <w:p w14:paraId="71FE6010" w14:textId="77777777" w:rsidR="00694519" w:rsidRPr="007F5BB3" w:rsidRDefault="00694519" w:rsidP="00694519">
      <w:pPr>
        <w:rPr>
          <w:rFonts w:cstheme="minorHAnsi"/>
          <w:sz w:val="24"/>
          <w:szCs w:val="24"/>
        </w:rPr>
      </w:pPr>
    </w:p>
    <w:p w14:paraId="75B8D4A7" w14:textId="13EE9DC8" w:rsidR="00694519" w:rsidRPr="007F5BB3" w:rsidRDefault="00694519" w:rsidP="00694519">
      <w:pPr>
        <w:rPr>
          <w:rFonts w:cstheme="minorHAnsi"/>
          <w:b/>
          <w:bCs/>
          <w:sz w:val="24"/>
          <w:szCs w:val="24"/>
        </w:rPr>
      </w:pPr>
      <w:r w:rsidRPr="007F5BB3">
        <w:rPr>
          <w:rFonts w:cstheme="minorHAnsi"/>
          <w:b/>
          <w:bCs/>
          <w:sz w:val="24"/>
          <w:szCs w:val="24"/>
        </w:rPr>
        <w:t>Effectiveness</w:t>
      </w:r>
    </w:p>
    <w:p w14:paraId="42BB86C1" w14:textId="7A5E425E" w:rsidR="00694519" w:rsidRPr="007F5BB3" w:rsidRDefault="00694519" w:rsidP="00694519">
      <w:pPr>
        <w:rPr>
          <w:rFonts w:cstheme="minorHAnsi"/>
          <w:b/>
          <w:bCs/>
          <w:sz w:val="24"/>
          <w:szCs w:val="24"/>
        </w:rPr>
      </w:pPr>
      <w:r w:rsidRPr="007F5BB3">
        <w:rPr>
          <w:rFonts w:cstheme="minorHAnsi"/>
          <w:sz w:val="24"/>
          <w:szCs w:val="24"/>
        </w:rPr>
        <w:t>Climate Action Tracker (https://climateactiontracker.org/countries/eu/)</w:t>
      </w:r>
    </w:p>
    <w:p w14:paraId="73C435FD" w14:textId="100D998C" w:rsidR="00694519" w:rsidRPr="00D05CCB" w:rsidRDefault="00470781" w:rsidP="00694519">
      <w:pPr>
        <w:pStyle w:val="ListParagraph"/>
        <w:numPr>
          <w:ilvl w:val="0"/>
          <w:numId w:val="1"/>
        </w:numPr>
        <w:rPr>
          <w:rFonts w:cstheme="minorHAnsi"/>
          <w:sz w:val="24"/>
          <w:szCs w:val="24"/>
        </w:rPr>
      </w:pPr>
      <w:r w:rsidRPr="00D05CCB">
        <w:rPr>
          <w:rFonts w:cstheme="minorHAnsi"/>
          <w:color w:val="3A494F"/>
          <w:sz w:val="24"/>
          <w:szCs w:val="24"/>
          <w:shd w:val="clear" w:color="auto" w:fill="FFFFFF"/>
        </w:rPr>
        <w:t xml:space="preserve">The </w:t>
      </w:r>
      <w:r w:rsidRPr="00D05CCB">
        <w:rPr>
          <w:rFonts w:cstheme="minorHAnsi"/>
          <w:b/>
          <w:bCs/>
          <w:color w:val="3A494F"/>
          <w:sz w:val="24"/>
          <w:szCs w:val="24"/>
          <w:shd w:val="clear" w:color="auto" w:fill="FFFFFF"/>
        </w:rPr>
        <w:t>EU is not yet on track to meet its 2030 target</w:t>
      </w:r>
      <w:r w:rsidRPr="00D05CCB">
        <w:rPr>
          <w:rFonts w:cstheme="minorHAnsi"/>
          <w:color w:val="3A494F"/>
          <w:sz w:val="24"/>
          <w:szCs w:val="24"/>
          <w:shd w:val="clear" w:color="auto" w:fill="FFFFFF"/>
        </w:rPr>
        <w:t xml:space="preserve"> to reduce emissions by at least 55% below 1990 (including LULUCF). </w:t>
      </w:r>
    </w:p>
    <w:p w14:paraId="49A14F1C" w14:textId="21E84F66" w:rsidR="00192060" w:rsidRPr="00D05CCB" w:rsidRDefault="00192060" w:rsidP="00694519">
      <w:pPr>
        <w:pStyle w:val="ListParagraph"/>
        <w:numPr>
          <w:ilvl w:val="0"/>
          <w:numId w:val="1"/>
        </w:numPr>
        <w:rPr>
          <w:rFonts w:cstheme="minorHAnsi"/>
          <w:sz w:val="24"/>
          <w:szCs w:val="24"/>
        </w:rPr>
      </w:pPr>
      <w:r w:rsidRPr="00D05CCB">
        <w:rPr>
          <w:rFonts w:cstheme="minorHAnsi"/>
          <w:color w:val="3A494F"/>
          <w:sz w:val="24"/>
          <w:szCs w:val="24"/>
          <w:shd w:val="clear" w:color="auto" w:fill="FFFFFF"/>
        </w:rPr>
        <w:lastRenderedPageBreak/>
        <w:t>Having the legislative framework in place to meet its 2030 NDC target is an important step, but rapid implementation of policies and measures at member state level is crucial for it to become a reality.</w:t>
      </w:r>
    </w:p>
    <w:p w14:paraId="5463F42E" w14:textId="6D6F862F" w:rsidR="00192060" w:rsidRPr="00D05CCB" w:rsidRDefault="00192060" w:rsidP="00694519">
      <w:pPr>
        <w:pStyle w:val="ListParagraph"/>
        <w:numPr>
          <w:ilvl w:val="0"/>
          <w:numId w:val="1"/>
        </w:numPr>
        <w:rPr>
          <w:rFonts w:cstheme="minorHAnsi"/>
          <w:sz w:val="24"/>
          <w:szCs w:val="24"/>
        </w:rPr>
      </w:pPr>
      <w:r w:rsidRPr="00D05CCB">
        <w:rPr>
          <w:rFonts w:cstheme="minorHAnsi"/>
          <w:color w:val="3A494F"/>
          <w:sz w:val="24"/>
          <w:szCs w:val="24"/>
          <w:shd w:val="clear" w:color="auto" w:fill="FFFFFF"/>
        </w:rPr>
        <w:t>We would recommend at least a 62% reduction (excluding LULUCF) by 2030 domestically with significant international finance or a far deeper cut of 93% to make a fair contribution to the 1.5°C limit. </w:t>
      </w:r>
    </w:p>
    <w:p w14:paraId="3D2524E6" w14:textId="19190687" w:rsidR="00F512CA" w:rsidRPr="007F5BB3" w:rsidRDefault="00F512CA" w:rsidP="00694519">
      <w:pPr>
        <w:pStyle w:val="ListParagraph"/>
        <w:numPr>
          <w:ilvl w:val="0"/>
          <w:numId w:val="1"/>
        </w:numPr>
        <w:rPr>
          <w:rFonts w:cstheme="minorHAnsi"/>
          <w:sz w:val="24"/>
          <w:szCs w:val="24"/>
        </w:rPr>
      </w:pPr>
      <w:r w:rsidRPr="007F5BB3">
        <w:rPr>
          <w:rFonts w:cstheme="minorHAnsi"/>
          <w:color w:val="3A494F"/>
          <w:sz w:val="24"/>
          <w:szCs w:val="24"/>
          <w:shd w:val="clear" w:color="auto" w:fill="FFFFFF"/>
        </w:rPr>
        <w:t>This latest evidence shows that the EU needs to cut emissions faster to align with 1.5°C. The change in our methodology for quantifying the lower range of the EU’s current policies and action also contributed to the change in rating.</w:t>
      </w:r>
    </w:p>
    <w:p w14:paraId="57A80FD8" w14:textId="77777777" w:rsidR="00095725" w:rsidRPr="007F5BB3" w:rsidRDefault="00095725" w:rsidP="00095725">
      <w:pPr>
        <w:rPr>
          <w:rFonts w:cstheme="minorHAnsi"/>
          <w:sz w:val="24"/>
          <w:szCs w:val="24"/>
        </w:rPr>
      </w:pPr>
    </w:p>
    <w:p w14:paraId="68520A25" w14:textId="77777777" w:rsidR="00095725" w:rsidRPr="007F5BB3" w:rsidRDefault="00095725" w:rsidP="00095725">
      <w:pPr>
        <w:rPr>
          <w:rFonts w:cstheme="minorHAnsi"/>
          <w:b/>
          <w:bCs/>
          <w:sz w:val="24"/>
          <w:szCs w:val="24"/>
        </w:rPr>
      </w:pPr>
      <w:r w:rsidRPr="007F5BB3">
        <w:rPr>
          <w:rFonts w:cstheme="minorHAnsi"/>
          <w:b/>
          <w:bCs/>
          <w:sz w:val="24"/>
          <w:szCs w:val="24"/>
        </w:rPr>
        <w:t>The European Union’s international climate leadership: towards a grand climate strategy?</w:t>
      </w:r>
    </w:p>
    <w:p w14:paraId="216A1D2B" w14:textId="2E5C27A7" w:rsidR="00095725" w:rsidRPr="007F5BB3" w:rsidRDefault="00095725" w:rsidP="00095725">
      <w:pPr>
        <w:rPr>
          <w:rFonts w:cstheme="minorHAnsi"/>
          <w:sz w:val="24"/>
          <w:szCs w:val="24"/>
        </w:rPr>
      </w:pPr>
      <w:r w:rsidRPr="007F5BB3">
        <w:rPr>
          <w:rFonts w:cstheme="minorHAnsi"/>
          <w:sz w:val="24"/>
          <w:szCs w:val="24"/>
        </w:rPr>
        <w:t xml:space="preserve">Sebastian </w:t>
      </w:r>
      <w:proofErr w:type="spellStart"/>
      <w:r w:rsidRPr="007F5BB3">
        <w:rPr>
          <w:rFonts w:cstheme="minorHAnsi"/>
          <w:sz w:val="24"/>
          <w:szCs w:val="24"/>
        </w:rPr>
        <w:t>OberthürORCID</w:t>
      </w:r>
      <w:proofErr w:type="spellEnd"/>
      <w:r w:rsidRPr="007F5BB3">
        <w:rPr>
          <w:rFonts w:cstheme="minorHAnsi"/>
          <w:sz w:val="24"/>
          <w:szCs w:val="24"/>
        </w:rPr>
        <w:t xml:space="preserve"> Icon &amp;Claire Dupont</w:t>
      </w:r>
    </w:p>
    <w:p w14:paraId="7CCFA7E2" w14:textId="7BA28366" w:rsidR="00095725" w:rsidRPr="007F5BB3" w:rsidRDefault="000C0197" w:rsidP="000C0197">
      <w:pPr>
        <w:pStyle w:val="ListParagraph"/>
        <w:numPr>
          <w:ilvl w:val="0"/>
          <w:numId w:val="1"/>
        </w:numPr>
        <w:rPr>
          <w:rFonts w:cstheme="minorHAnsi"/>
          <w:sz w:val="24"/>
          <w:szCs w:val="24"/>
        </w:rPr>
      </w:pPr>
      <w:r w:rsidRPr="007F5BB3">
        <w:rPr>
          <w:rFonts w:cstheme="minorHAnsi"/>
          <w:sz w:val="24"/>
          <w:szCs w:val="24"/>
        </w:rPr>
        <w:t>Ever since climate change rose in international politics in the early 1990s, the EU and its member states (hereafter: the EU) have pursued international leadership</w:t>
      </w:r>
    </w:p>
    <w:p w14:paraId="34FC1F8C" w14:textId="77777777" w:rsidR="00C16354" w:rsidRPr="007F5BB3" w:rsidRDefault="00C16354" w:rsidP="00C16354">
      <w:pPr>
        <w:rPr>
          <w:rFonts w:cstheme="minorHAnsi"/>
          <w:sz w:val="24"/>
          <w:szCs w:val="24"/>
        </w:rPr>
      </w:pPr>
    </w:p>
    <w:p w14:paraId="78E09AC9" w14:textId="77777777" w:rsidR="004B10E2" w:rsidRPr="007F5BB3" w:rsidRDefault="004B10E2" w:rsidP="004B10E2">
      <w:pPr>
        <w:rPr>
          <w:rFonts w:cstheme="minorHAnsi"/>
          <w:b/>
          <w:bCs/>
          <w:sz w:val="24"/>
          <w:szCs w:val="24"/>
        </w:rPr>
      </w:pPr>
      <w:r w:rsidRPr="007F5BB3">
        <w:rPr>
          <w:rFonts w:cstheme="minorHAnsi"/>
          <w:b/>
          <w:bCs/>
          <w:sz w:val="24"/>
          <w:szCs w:val="24"/>
        </w:rPr>
        <w:t>The Covid-19 crisis: a critical juncture for EU climate policy development?</w:t>
      </w:r>
    </w:p>
    <w:p w14:paraId="7A59F9AA" w14:textId="5B9F00A9" w:rsidR="00C16354" w:rsidRPr="007F5BB3" w:rsidRDefault="004B10E2" w:rsidP="004B10E2">
      <w:pPr>
        <w:rPr>
          <w:rFonts w:cstheme="minorHAnsi"/>
          <w:sz w:val="24"/>
          <w:szCs w:val="24"/>
        </w:rPr>
      </w:pPr>
      <w:r w:rsidRPr="007F5BB3">
        <w:rPr>
          <w:rFonts w:cstheme="minorHAnsi"/>
          <w:sz w:val="24"/>
          <w:szCs w:val="24"/>
        </w:rPr>
        <w:t xml:space="preserve">Claire </w:t>
      </w:r>
      <w:proofErr w:type="spellStart"/>
      <w:proofErr w:type="gramStart"/>
      <w:r w:rsidRPr="007F5BB3">
        <w:rPr>
          <w:rFonts w:cstheme="minorHAnsi"/>
          <w:sz w:val="24"/>
          <w:szCs w:val="24"/>
        </w:rPr>
        <w:t>Dupont,Sebastian</w:t>
      </w:r>
      <w:proofErr w:type="spellEnd"/>
      <w:proofErr w:type="gramEnd"/>
      <w:r w:rsidRPr="007F5BB3">
        <w:rPr>
          <w:rFonts w:cstheme="minorHAnsi"/>
          <w:sz w:val="24"/>
          <w:szCs w:val="24"/>
        </w:rPr>
        <w:t xml:space="preserve"> </w:t>
      </w:r>
      <w:proofErr w:type="spellStart"/>
      <w:r w:rsidRPr="007F5BB3">
        <w:rPr>
          <w:rFonts w:cstheme="minorHAnsi"/>
          <w:sz w:val="24"/>
          <w:szCs w:val="24"/>
        </w:rPr>
        <w:t>Oberthür</w:t>
      </w:r>
      <w:proofErr w:type="spellEnd"/>
      <w:r w:rsidRPr="007F5BB3">
        <w:rPr>
          <w:rFonts w:cstheme="minorHAnsi"/>
          <w:sz w:val="24"/>
          <w:szCs w:val="24"/>
        </w:rPr>
        <w:t xml:space="preserve"> &amp;Ingmar von Homeyer</w:t>
      </w:r>
    </w:p>
    <w:p w14:paraId="6EACFA17" w14:textId="0857F4F7" w:rsidR="004B10E2" w:rsidRPr="007F5BB3" w:rsidRDefault="00A60882" w:rsidP="004B10E2">
      <w:pPr>
        <w:pStyle w:val="ListParagraph"/>
        <w:numPr>
          <w:ilvl w:val="0"/>
          <w:numId w:val="1"/>
        </w:numPr>
        <w:rPr>
          <w:rFonts w:cstheme="minorHAnsi"/>
          <w:sz w:val="24"/>
          <w:szCs w:val="24"/>
        </w:rPr>
      </w:pPr>
      <w:r w:rsidRPr="007F5BB3">
        <w:rPr>
          <w:rFonts w:cstheme="minorHAnsi"/>
          <w:sz w:val="24"/>
          <w:szCs w:val="24"/>
        </w:rPr>
        <w:t xml:space="preserve">Both its climate mitigation </w:t>
      </w:r>
      <w:proofErr w:type="gramStart"/>
      <w:r w:rsidRPr="007F5BB3">
        <w:rPr>
          <w:rFonts w:cstheme="minorHAnsi"/>
          <w:sz w:val="24"/>
          <w:szCs w:val="24"/>
        </w:rPr>
        <w:t>targets</w:t>
      </w:r>
      <w:proofErr w:type="gramEnd"/>
      <w:r w:rsidRPr="007F5BB3">
        <w:rPr>
          <w:rFonts w:cstheme="minorHAnsi"/>
          <w:sz w:val="24"/>
          <w:szCs w:val="24"/>
        </w:rPr>
        <w:t xml:space="preserve"> and the related legislative acquis have been at the forefront internationally and have served to underpin EU international climate leadership</w:t>
      </w:r>
    </w:p>
    <w:p w14:paraId="679779DE" w14:textId="479FFD0E" w:rsidR="00A60882" w:rsidRPr="007F5BB3" w:rsidRDefault="00A60882" w:rsidP="004B10E2">
      <w:pPr>
        <w:pStyle w:val="ListParagraph"/>
        <w:numPr>
          <w:ilvl w:val="0"/>
          <w:numId w:val="1"/>
        </w:numPr>
        <w:rPr>
          <w:rFonts w:cstheme="minorHAnsi"/>
          <w:sz w:val="24"/>
          <w:szCs w:val="24"/>
        </w:rPr>
      </w:pPr>
      <w:r w:rsidRPr="007F5BB3">
        <w:rPr>
          <w:rFonts w:cstheme="minorHAnsi"/>
          <w:sz w:val="24"/>
          <w:szCs w:val="24"/>
        </w:rPr>
        <w:t>EU domestic climate policy has, however, remained insufficient for achieving the Paris Agreement’s temperature target of limiting the increase of global temperature to 1.5 or even 2 degrees Celsius</w:t>
      </w:r>
    </w:p>
    <w:p w14:paraId="1D52BB97" w14:textId="77777777" w:rsidR="002E424A" w:rsidRPr="007F5BB3" w:rsidRDefault="002E424A" w:rsidP="002E424A">
      <w:pPr>
        <w:rPr>
          <w:rFonts w:cstheme="minorHAnsi"/>
          <w:sz w:val="24"/>
          <w:szCs w:val="24"/>
        </w:rPr>
      </w:pPr>
    </w:p>
    <w:p w14:paraId="2C12F8CE" w14:textId="77777777" w:rsidR="002E424A" w:rsidRPr="007F5BB3" w:rsidRDefault="002E424A" w:rsidP="002E424A">
      <w:pPr>
        <w:rPr>
          <w:rFonts w:cstheme="minorHAnsi"/>
          <w:b/>
          <w:bCs/>
          <w:sz w:val="24"/>
          <w:szCs w:val="24"/>
        </w:rPr>
      </w:pPr>
      <w:r w:rsidRPr="007F5BB3">
        <w:rPr>
          <w:rFonts w:cstheme="minorHAnsi"/>
          <w:b/>
          <w:bCs/>
          <w:sz w:val="24"/>
          <w:szCs w:val="24"/>
        </w:rPr>
        <w:t>Taking stock of national climate policies to evaluate implementation of the Paris Agreement</w:t>
      </w:r>
    </w:p>
    <w:p w14:paraId="06568DC7" w14:textId="6EDFB2A0" w:rsidR="002E424A" w:rsidRPr="007F5BB3" w:rsidRDefault="002E424A" w:rsidP="002E424A">
      <w:pPr>
        <w:rPr>
          <w:rFonts w:cstheme="minorHAnsi"/>
          <w:sz w:val="24"/>
          <w:szCs w:val="24"/>
        </w:rPr>
      </w:pPr>
      <w:r w:rsidRPr="007F5BB3">
        <w:rPr>
          <w:rFonts w:cstheme="minorHAnsi"/>
          <w:sz w:val="24"/>
          <w:szCs w:val="24"/>
        </w:rPr>
        <w:t xml:space="preserve">Mark </w:t>
      </w:r>
      <w:proofErr w:type="spellStart"/>
      <w:r w:rsidRPr="007F5BB3">
        <w:rPr>
          <w:rFonts w:cstheme="minorHAnsi"/>
          <w:sz w:val="24"/>
          <w:szCs w:val="24"/>
        </w:rPr>
        <w:t>Roelfsema</w:t>
      </w:r>
      <w:proofErr w:type="spellEnd"/>
      <w:r w:rsidRPr="007F5BB3">
        <w:rPr>
          <w:rFonts w:cstheme="minorHAnsi"/>
          <w:sz w:val="24"/>
          <w:szCs w:val="24"/>
        </w:rPr>
        <w:t xml:space="preserve">, Heleen L. van Soest, Mathijs Harmsen, Detlef P. van Vuuren, Christoph Bertram, Michel den </w:t>
      </w:r>
      <w:proofErr w:type="spellStart"/>
      <w:r w:rsidRPr="007F5BB3">
        <w:rPr>
          <w:rFonts w:cstheme="minorHAnsi"/>
          <w:sz w:val="24"/>
          <w:szCs w:val="24"/>
        </w:rPr>
        <w:t>Elzen</w:t>
      </w:r>
      <w:proofErr w:type="spellEnd"/>
      <w:r w:rsidRPr="007F5BB3">
        <w:rPr>
          <w:rFonts w:cstheme="minorHAnsi"/>
          <w:sz w:val="24"/>
          <w:szCs w:val="24"/>
        </w:rPr>
        <w:t xml:space="preserve">, Niklas Höhne, Gabriela </w:t>
      </w:r>
      <w:proofErr w:type="spellStart"/>
      <w:r w:rsidRPr="007F5BB3">
        <w:rPr>
          <w:rFonts w:cstheme="minorHAnsi"/>
          <w:sz w:val="24"/>
          <w:szCs w:val="24"/>
        </w:rPr>
        <w:t>Iacobuta</w:t>
      </w:r>
      <w:proofErr w:type="spellEnd"/>
      <w:r w:rsidRPr="007F5BB3">
        <w:rPr>
          <w:rFonts w:cstheme="minorHAnsi"/>
          <w:sz w:val="24"/>
          <w:szCs w:val="24"/>
        </w:rPr>
        <w:t xml:space="preserve">, Volker Krey, Elmar Kriegler, Gunnar </w:t>
      </w:r>
      <w:proofErr w:type="spellStart"/>
      <w:r w:rsidRPr="007F5BB3">
        <w:rPr>
          <w:rFonts w:cstheme="minorHAnsi"/>
          <w:sz w:val="24"/>
          <w:szCs w:val="24"/>
        </w:rPr>
        <w:t>Luderer</w:t>
      </w:r>
      <w:proofErr w:type="spellEnd"/>
      <w:r w:rsidRPr="007F5BB3">
        <w:rPr>
          <w:rFonts w:cstheme="minorHAnsi"/>
          <w:sz w:val="24"/>
          <w:szCs w:val="24"/>
        </w:rPr>
        <w:t xml:space="preserve">, Keywan Riahi, Falko </w:t>
      </w:r>
      <w:proofErr w:type="spellStart"/>
      <w:r w:rsidRPr="007F5BB3">
        <w:rPr>
          <w:rFonts w:cstheme="minorHAnsi"/>
          <w:sz w:val="24"/>
          <w:szCs w:val="24"/>
        </w:rPr>
        <w:t>Ueckerdt</w:t>
      </w:r>
      <w:proofErr w:type="spellEnd"/>
      <w:r w:rsidRPr="007F5BB3">
        <w:rPr>
          <w:rFonts w:cstheme="minorHAnsi"/>
          <w:sz w:val="24"/>
          <w:szCs w:val="24"/>
        </w:rPr>
        <w:t xml:space="preserve">, Jacques Després, Laurent Drouet, Johannes Emmerling, Stefan Frank, Oliver </w:t>
      </w:r>
      <w:proofErr w:type="spellStart"/>
      <w:r w:rsidRPr="007F5BB3">
        <w:rPr>
          <w:rFonts w:cstheme="minorHAnsi"/>
          <w:sz w:val="24"/>
          <w:szCs w:val="24"/>
        </w:rPr>
        <w:t>Fricko</w:t>
      </w:r>
      <w:proofErr w:type="spellEnd"/>
      <w:r w:rsidRPr="007F5BB3">
        <w:rPr>
          <w:rFonts w:cstheme="minorHAnsi"/>
          <w:sz w:val="24"/>
          <w:szCs w:val="24"/>
        </w:rPr>
        <w:t xml:space="preserve">, Matthew Gidden, Florian </w:t>
      </w:r>
      <w:proofErr w:type="spellStart"/>
      <w:r w:rsidRPr="007F5BB3">
        <w:rPr>
          <w:rFonts w:cstheme="minorHAnsi"/>
          <w:sz w:val="24"/>
          <w:szCs w:val="24"/>
        </w:rPr>
        <w:t>Humpenöder</w:t>
      </w:r>
      <w:proofErr w:type="spellEnd"/>
      <w:r w:rsidRPr="007F5BB3">
        <w:rPr>
          <w:rFonts w:cstheme="minorHAnsi"/>
          <w:sz w:val="24"/>
          <w:szCs w:val="24"/>
        </w:rPr>
        <w:t xml:space="preserve">, Daniel </w:t>
      </w:r>
      <w:proofErr w:type="spellStart"/>
      <w:r w:rsidRPr="007F5BB3">
        <w:rPr>
          <w:rFonts w:cstheme="minorHAnsi"/>
          <w:sz w:val="24"/>
          <w:szCs w:val="24"/>
        </w:rPr>
        <w:t>Huppmann</w:t>
      </w:r>
      <w:proofErr w:type="spellEnd"/>
      <w:r w:rsidRPr="007F5BB3">
        <w:rPr>
          <w:rFonts w:cstheme="minorHAnsi"/>
          <w:sz w:val="24"/>
          <w:szCs w:val="24"/>
        </w:rPr>
        <w:t xml:space="preserve">, Shinichiro Fujimori, Kostas Fragkiadakis, </w:t>
      </w:r>
      <w:proofErr w:type="spellStart"/>
      <w:r w:rsidRPr="007F5BB3">
        <w:rPr>
          <w:rFonts w:cstheme="minorHAnsi"/>
          <w:sz w:val="24"/>
          <w:szCs w:val="24"/>
        </w:rPr>
        <w:t>Keii</w:t>
      </w:r>
      <w:proofErr w:type="spellEnd"/>
      <w:r w:rsidRPr="007F5BB3">
        <w:rPr>
          <w:rFonts w:cstheme="minorHAnsi"/>
          <w:sz w:val="24"/>
          <w:szCs w:val="24"/>
        </w:rPr>
        <w:t xml:space="preserve"> Gi, …Saritha </w:t>
      </w:r>
      <w:proofErr w:type="spellStart"/>
      <w:r w:rsidRPr="007F5BB3">
        <w:rPr>
          <w:rFonts w:cstheme="minorHAnsi"/>
          <w:sz w:val="24"/>
          <w:szCs w:val="24"/>
        </w:rPr>
        <w:t>Sudharmma</w:t>
      </w:r>
      <w:proofErr w:type="spellEnd"/>
      <w:r w:rsidRPr="007F5BB3">
        <w:rPr>
          <w:rFonts w:cstheme="minorHAnsi"/>
          <w:sz w:val="24"/>
          <w:szCs w:val="24"/>
        </w:rPr>
        <w:t xml:space="preserve"> Vishwanathan</w:t>
      </w:r>
    </w:p>
    <w:p w14:paraId="743B7EB8" w14:textId="5240977B" w:rsidR="002E424A" w:rsidRPr="007F5BB3" w:rsidRDefault="004D3678" w:rsidP="002E424A">
      <w:pPr>
        <w:pStyle w:val="ListParagraph"/>
        <w:numPr>
          <w:ilvl w:val="0"/>
          <w:numId w:val="1"/>
        </w:numPr>
        <w:rPr>
          <w:rFonts w:cstheme="minorHAnsi"/>
          <w:sz w:val="24"/>
          <w:szCs w:val="24"/>
        </w:rPr>
      </w:pPr>
      <w:r w:rsidRPr="007F5BB3">
        <w:rPr>
          <w:rFonts w:cstheme="minorHAnsi"/>
          <w:color w:val="222222"/>
          <w:sz w:val="24"/>
          <w:szCs w:val="24"/>
          <w:shd w:val="clear" w:color="auto" w:fill="FFFFFF"/>
        </w:rPr>
        <w:t>all countries would need to accelerate the implementation of policies for renewable technologies, while efficiency improvements are especially important in emerging countries and fossil-fuel-dependent countries</w:t>
      </w:r>
    </w:p>
    <w:p w14:paraId="445BBCE2" w14:textId="5955FCA6" w:rsidR="00612DBE" w:rsidRPr="007F5BB3" w:rsidRDefault="00612DBE" w:rsidP="002E424A">
      <w:pPr>
        <w:pStyle w:val="ListParagraph"/>
        <w:numPr>
          <w:ilvl w:val="0"/>
          <w:numId w:val="1"/>
        </w:numPr>
        <w:rPr>
          <w:rFonts w:cstheme="minorHAnsi"/>
          <w:sz w:val="24"/>
          <w:szCs w:val="24"/>
        </w:rPr>
      </w:pPr>
      <w:r w:rsidRPr="007F5BB3">
        <w:rPr>
          <w:rFonts w:cstheme="minorHAnsi"/>
          <w:color w:val="222222"/>
          <w:sz w:val="24"/>
          <w:szCs w:val="24"/>
          <w:shd w:val="clear" w:color="auto" w:fill="FFFFFF"/>
        </w:rPr>
        <w:t xml:space="preserve">Significant ambition gap for reducing emissions, </w:t>
      </w:r>
      <w:r w:rsidR="003540F7" w:rsidRPr="007F5BB3">
        <w:rPr>
          <w:rFonts w:cstheme="minorHAnsi"/>
          <w:color w:val="222222"/>
          <w:sz w:val="24"/>
          <w:szCs w:val="24"/>
          <w:shd w:val="clear" w:color="auto" w:fill="FFFFFF"/>
        </w:rPr>
        <w:t>renewable energy mix gap and energy efficiency gap</w:t>
      </w:r>
    </w:p>
    <w:p w14:paraId="2B04D558" w14:textId="77777777" w:rsidR="00153A5E" w:rsidRPr="007F5BB3" w:rsidRDefault="00153A5E" w:rsidP="00153A5E">
      <w:pPr>
        <w:rPr>
          <w:rFonts w:cstheme="minorHAnsi"/>
          <w:sz w:val="24"/>
          <w:szCs w:val="24"/>
        </w:rPr>
      </w:pPr>
    </w:p>
    <w:p w14:paraId="69B76622" w14:textId="6A13C5F8" w:rsidR="00153A5E" w:rsidRPr="007F5BB3" w:rsidRDefault="00FF21C1" w:rsidP="00153A5E">
      <w:pPr>
        <w:rPr>
          <w:rFonts w:cstheme="minorHAnsi"/>
          <w:b/>
          <w:bCs/>
          <w:sz w:val="24"/>
          <w:szCs w:val="24"/>
        </w:rPr>
      </w:pPr>
      <w:r w:rsidRPr="007F5BB3">
        <w:rPr>
          <w:rFonts w:cstheme="minorHAnsi"/>
          <w:b/>
          <w:bCs/>
          <w:sz w:val="24"/>
          <w:szCs w:val="24"/>
        </w:rPr>
        <w:t>Towards a European Green Deal: The evolution of EU climate and energy policy mixes</w:t>
      </w:r>
    </w:p>
    <w:p w14:paraId="043BC58B" w14:textId="67F25664" w:rsidR="00FF21C1" w:rsidRPr="007F5BB3" w:rsidRDefault="00FF21C1" w:rsidP="00153A5E">
      <w:pPr>
        <w:rPr>
          <w:rFonts w:cstheme="minorHAnsi"/>
          <w:sz w:val="24"/>
          <w:szCs w:val="24"/>
        </w:rPr>
      </w:pPr>
      <w:r w:rsidRPr="007F5BB3">
        <w:rPr>
          <w:rFonts w:cstheme="minorHAnsi"/>
          <w:sz w:val="24"/>
          <w:szCs w:val="24"/>
        </w:rPr>
        <w:t xml:space="preserve">Jon Birger </w:t>
      </w:r>
      <w:proofErr w:type="spellStart"/>
      <w:r w:rsidRPr="007F5BB3">
        <w:rPr>
          <w:rFonts w:cstheme="minorHAnsi"/>
          <w:sz w:val="24"/>
          <w:szCs w:val="24"/>
        </w:rPr>
        <w:t>Skjærseth</w:t>
      </w:r>
      <w:proofErr w:type="spellEnd"/>
    </w:p>
    <w:p w14:paraId="4C23E8D4" w14:textId="425A462E" w:rsidR="00FF21C1" w:rsidRPr="007F5BB3" w:rsidRDefault="00FF21C1" w:rsidP="00FF21C1">
      <w:pPr>
        <w:pStyle w:val="ListParagraph"/>
        <w:numPr>
          <w:ilvl w:val="0"/>
          <w:numId w:val="1"/>
        </w:numPr>
        <w:rPr>
          <w:rFonts w:cstheme="minorHAnsi"/>
          <w:sz w:val="24"/>
          <w:szCs w:val="24"/>
        </w:rPr>
      </w:pPr>
      <w:r w:rsidRPr="007F5BB3">
        <w:rPr>
          <w:rFonts w:cstheme="minorHAnsi"/>
          <w:b/>
          <w:bCs/>
          <w:sz w:val="24"/>
          <w:szCs w:val="24"/>
        </w:rPr>
        <w:t>decarbonization cannot be achieved with single instruments</w:t>
      </w:r>
      <w:r w:rsidRPr="007F5BB3">
        <w:rPr>
          <w:rFonts w:cstheme="minorHAnsi"/>
          <w:sz w:val="24"/>
          <w:szCs w:val="24"/>
        </w:rPr>
        <w:t xml:space="preserve"> like carbon pricing alone</w:t>
      </w:r>
    </w:p>
    <w:p w14:paraId="4EAB95AE" w14:textId="5BC04E32" w:rsidR="00FD4848" w:rsidRPr="007F5BB3" w:rsidRDefault="00FD4848" w:rsidP="00FF21C1">
      <w:pPr>
        <w:pStyle w:val="ListParagraph"/>
        <w:numPr>
          <w:ilvl w:val="0"/>
          <w:numId w:val="1"/>
        </w:numPr>
        <w:rPr>
          <w:rFonts w:cstheme="minorHAnsi"/>
          <w:sz w:val="24"/>
          <w:szCs w:val="24"/>
        </w:rPr>
      </w:pPr>
      <w:r w:rsidRPr="007F5BB3">
        <w:rPr>
          <w:rFonts w:cstheme="minorHAnsi"/>
          <w:sz w:val="24"/>
          <w:szCs w:val="24"/>
        </w:rPr>
        <w:t>Applying the policy mix literature to the European Union (EU), this article examines the development of climate and energy policies from separate and narrow initiatives to coordinated policy packages to achieve increasingly ambitious climate targets, culminating with the European Green Deal</w:t>
      </w:r>
    </w:p>
    <w:p w14:paraId="015F4CB3" w14:textId="5413D1FE" w:rsidR="00FD4848" w:rsidRPr="007F5BB3" w:rsidRDefault="00FD4848" w:rsidP="00FF21C1">
      <w:pPr>
        <w:pStyle w:val="ListParagraph"/>
        <w:numPr>
          <w:ilvl w:val="0"/>
          <w:numId w:val="1"/>
        </w:numPr>
        <w:rPr>
          <w:rFonts w:cstheme="minorHAnsi"/>
          <w:b/>
          <w:bCs/>
          <w:sz w:val="24"/>
          <w:szCs w:val="24"/>
        </w:rPr>
      </w:pPr>
      <w:r w:rsidRPr="007F5BB3">
        <w:rPr>
          <w:rFonts w:cstheme="minorHAnsi"/>
          <w:b/>
          <w:bCs/>
          <w:color w:val="222222"/>
          <w:sz w:val="24"/>
          <w:szCs w:val="24"/>
          <w:shd w:val="clear" w:color="auto" w:fill="FFFFFF"/>
        </w:rPr>
        <w:t>EU policies will reflect the positions of the ‘least ambitious’ actors when unanimity is required</w:t>
      </w:r>
    </w:p>
    <w:p w14:paraId="6FAD6FD0" w14:textId="77777777" w:rsidR="00B72B4F" w:rsidRPr="007F5BB3" w:rsidRDefault="00B72B4F" w:rsidP="00B72B4F">
      <w:pPr>
        <w:rPr>
          <w:rFonts w:cstheme="minorHAnsi"/>
          <w:sz w:val="24"/>
          <w:szCs w:val="24"/>
        </w:rPr>
      </w:pPr>
    </w:p>
    <w:p w14:paraId="258CFC9D" w14:textId="77777777" w:rsidR="000F007D" w:rsidRPr="007F5BB3" w:rsidRDefault="000F007D" w:rsidP="000F007D">
      <w:pPr>
        <w:rPr>
          <w:rFonts w:cstheme="minorHAnsi"/>
          <w:b/>
          <w:bCs/>
          <w:sz w:val="24"/>
          <w:szCs w:val="24"/>
        </w:rPr>
      </w:pPr>
      <w:r w:rsidRPr="007F5BB3">
        <w:rPr>
          <w:rFonts w:cstheme="minorHAnsi"/>
          <w:b/>
          <w:bCs/>
          <w:sz w:val="24"/>
          <w:szCs w:val="24"/>
        </w:rPr>
        <w:t>EU environmental policy in times of crisis</w:t>
      </w:r>
    </w:p>
    <w:p w14:paraId="5DE3F2EB" w14:textId="2CC3DCB1" w:rsidR="00B72B4F" w:rsidRPr="007F5BB3" w:rsidRDefault="000F007D" w:rsidP="000F007D">
      <w:pPr>
        <w:rPr>
          <w:rFonts w:cstheme="minorHAnsi"/>
          <w:sz w:val="24"/>
          <w:szCs w:val="24"/>
        </w:rPr>
      </w:pPr>
      <w:r w:rsidRPr="007F5BB3">
        <w:rPr>
          <w:rFonts w:cstheme="minorHAnsi"/>
          <w:sz w:val="24"/>
          <w:szCs w:val="24"/>
        </w:rPr>
        <w:t xml:space="preserve">Charlotte </w:t>
      </w:r>
      <w:proofErr w:type="spellStart"/>
      <w:proofErr w:type="gramStart"/>
      <w:r w:rsidRPr="007F5BB3">
        <w:rPr>
          <w:rFonts w:cstheme="minorHAnsi"/>
          <w:sz w:val="24"/>
          <w:szCs w:val="24"/>
        </w:rPr>
        <w:t>Burns,Peter</w:t>
      </w:r>
      <w:proofErr w:type="spellEnd"/>
      <w:proofErr w:type="gramEnd"/>
      <w:r w:rsidRPr="007F5BB3">
        <w:rPr>
          <w:rFonts w:cstheme="minorHAnsi"/>
          <w:sz w:val="24"/>
          <w:szCs w:val="24"/>
        </w:rPr>
        <w:t xml:space="preserve"> Eckersley &amp;Paul Tobin</w:t>
      </w:r>
    </w:p>
    <w:p w14:paraId="49DB4888" w14:textId="26A97964" w:rsidR="000F007D" w:rsidRPr="007F5BB3" w:rsidRDefault="000F007D" w:rsidP="000F007D">
      <w:pPr>
        <w:pStyle w:val="ListParagraph"/>
        <w:numPr>
          <w:ilvl w:val="0"/>
          <w:numId w:val="1"/>
        </w:numPr>
        <w:rPr>
          <w:rFonts w:cstheme="minorHAnsi"/>
          <w:sz w:val="24"/>
          <w:szCs w:val="24"/>
        </w:rPr>
      </w:pPr>
      <w:r w:rsidRPr="007F5BB3">
        <w:rPr>
          <w:rFonts w:cstheme="minorHAnsi"/>
          <w:color w:val="333333"/>
          <w:sz w:val="24"/>
          <w:szCs w:val="24"/>
        </w:rPr>
        <w:t xml:space="preserve">The EU has sought to cast itself as a global environmental </w:t>
      </w:r>
      <w:proofErr w:type="gramStart"/>
      <w:r w:rsidRPr="007F5BB3">
        <w:rPr>
          <w:rFonts w:cstheme="minorHAnsi"/>
          <w:color w:val="333333"/>
          <w:sz w:val="24"/>
          <w:szCs w:val="24"/>
        </w:rPr>
        <w:t>leader</w:t>
      </w:r>
      <w:proofErr w:type="gramEnd"/>
      <w:r w:rsidRPr="007F5BB3">
        <w:rPr>
          <w:rFonts w:cstheme="minorHAnsi"/>
          <w:color w:val="333333"/>
          <w:sz w:val="24"/>
          <w:szCs w:val="24"/>
        </w:rPr>
        <w:t xml:space="preserve"> but that leadership has in large part rested upon its ability to set ambitious policy goals at home. The </w:t>
      </w:r>
      <w:r w:rsidRPr="007F5BB3">
        <w:rPr>
          <w:rFonts w:cstheme="minorHAnsi"/>
          <w:b/>
          <w:bCs/>
          <w:color w:val="333333"/>
          <w:sz w:val="24"/>
          <w:szCs w:val="24"/>
        </w:rPr>
        <w:t>future environmental policy trajectory and leadership of the EU may be under threat as the Union struggles to emerge from the economic crisis</w:t>
      </w:r>
      <w:r w:rsidRPr="007F5BB3">
        <w:rPr>
          <w:rFonts w:cstheme="minorHAnsi"/>
          <w:color w:val="333333"/>
          <w:sz w:val="24"/>
          <w:szCs w:val="24"/>
        </w:rPr>
        <w:t>.</w:t>
      </w:r>
    </w:p>
    <w:p w14:paraId="26602511" w14:textId="298209A7" w:rsidR="000F007D" w:rsidRPr="007F5BB3" w:rsidRDefault="00427867" w:rsidP="00427867">
      <w:pPr>
        <w:pStyle w:val="ListParagraph"/>
        <w:numPr>
          <w:ilvl w:val="0"/>
          <w:numId w:val="1"/>
        </w:numPr>
        <w:rPr>
          <w:rFonts w:cstheme="minorHAnsi"/>
          <w:sz w:val="24"/>
          <w:szCs w:val="24"/>
        </w:rPr>
      </w:pPr>
      <w:r w:rsidRPr="007F5BB3">
        <w:rPr>
          <w:rFonts w:cstheme="minorHAnsi"/>
          <w:sz w:val="24"/>
          <w:szCs w:val="24"/>
        </w:rPr>
        <w:t xml:space="preserve">The article finds evidence of </w:t>
      </w:r>
      <w:r w:rsidRPr="007F5BB3">
        <w:rPr>
          <w:rFonts w:cstheme="minorHAnsi"/>
          <w:b/>
          <w:bCs/>
          <w:sz w:val="24"/>
          <w:szCs w:val="24"/>
        </w:rPr>
        <w:t xml:space="preserve">waning ambition over the period under </w:t>
      </w:r>
      <w:proofErr w:type="gramStart"/>
      <w:r w:rsidRPr="007F5BB3">
        <w:rPr>
          <w:rFonts w:cstheme="minorHAnsi"/>
          <w:b/>
          <w:bCs/>
          <w:sz w:val="24"/>
          <w:szCs w:val="24"/>
        </w:rPr>
        <w:t>analysis</w:t>
      </w:r>
      <w:proofErr w:type="gramEnd"/>
      <w:r w:rsidRPr="007F5BB3">
        <w:rPr>
          <w:rFonts w:cstheme="minorHAnsi"/>
          <w:sz w:val="24"/>
          <w:szCs w:val="24"/>
        </w:rPr>
        <w:t xml:space="preserve"> but a range of explanatory variables emerges from the interviews, which suggests that the diminution in EU environmental policy ambition is driven by a mix of factors and maybe likely to persist over the longer term.</w:t>
      </w:r>
    </w:p>
    <w:p w14:paraId="3CC00E8B" w14:textId="1088FAE0" w:rsidR="00966E61" w:rsidRPr="007F5BB3" w:rsidRDefault="00966E61" w:rsidP="00427867">
      <w:pPr>
        <w:pStyle w:val="ListParagraph"/>
        <w:numPr>
          <w:ilvl w:val="0"/>
          <w:numId w:val="1"/>
        </w:numPr>
        <w:rPr>
          <w:rFonts w:cstheme="minorHAnsi"/>
          <w:sz w:val="24"/>
          <w:szCs w:val="24"/>
        </w:rPr>
      </w:pPr>
      <w:r w:rsidRPr="007F5BB3">
        <w:rPr>
          <w:rFonts w:cstheme="minorHAnsi"/>
          <w:color w:val="333333"/>
          <w:sz w:val="24"/>
          <w:szCs w:val="24"/>
        </w:rPr>
        <w:t>2004 to July 2014</w:t>
      </w:r>
    </w:p>
    <w:sectPr w:rsidR="00966E61" w:rsidRPr="007F5BB3" w:rsidSect="007B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F6E9F"/>
    <w:multiLevelType w:val="hybridMultilevel"/>
    <w:tmpl w:val="1590BA94"/>
    <w:lvl w:ilvl="0" w:tplc="11E2831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32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26"/>
    <w:rsid w:val="00042FDE"/>
    <w:rsid w:val="00095725"/>
    <w:rsid w:val="000C0197"/>
    <w:rsid w:val="000F007D"/>
    <w:rsid w:val="00153A5E"/>
    <w:rsid w:val="00192060"/>
    <w:rsid w:val="001D19BD"/>
    <w:rsid w:val="001E3D13"/>
    <w:rsid w:val="002B3058"/>
    <w:rsid w:val="002E0B82"/>
    <w:rsid w:val="002E424A"/>
    <w:rsid w:val="0030522A"/>
    <w:rsid w:val="00324478"/>
    <w:rsid w:val="003540F7"/>
    <w:rsid w:val="0038522B"/>
    <w:rsid w:val="00427867"/>
    <w:rsid w:val="00470781"/>
    <w:rsid w:val="004B10E2"/>
    <w:rsid w:val="004D3678"/>
    <w:rsid w:val="0051755B"/>
    <w:rsid w:val="00612DBE"/>
    <w:rsid w:val="00620A18"/>
    <w:rsid w:val="00694519"/>
    <w:rsid w:val="006A2653"/>
    <w:rsid w:val="006F2826"/>
    <w:rsid w:val="007076AB"/>
    <w:rsid w:val="007B78C4"/>
    <w:rsid w:val="007B79C4"/>
    <w:rsid w:val="007D1AE9"/>
    <w:rsid w:val="007E0B50"/>
    <w:rsid w:val="007F5BB3"/>
    <w:rsid w:val="00831463"/>
    <w:rsid w:val="00831FEC"/>
    <w:rsid w:val="00875ADF"/>
    <w:rsid w:val="008D5B7E"/>
    <w:rsid w:val="00903F6B"/>
    <w:rsid w:val="00966E61"/>
    <w:rsid w:val="009B5CF6"/>
    <w:rsid w:val="00A02654"/>
    <w:rsid w:val="00A60882"/>
    <w:rsid w:val="00AB6BED"/>
    <w:rsid w:val="00AE6807"/>
    <w:rsid w:val="00B72B4F"/>
    <w:rsid w:val="00BF1211"/>
    <w:rsid w:val="00C16354"/>
    <w:rsid w:val="00C66291"/>
    <w:rsid w:val="00CA6765"/>
    <w:rsid w:val="00D02993"/>
    <w:rsid w:val="00D05CCB"/>
    <w:rsid w:val="00D3487D"/>
    <w:rsid w:val="00DE2FE4"/>
    <w:rsid w:val="00E21B18"/>
    <w:rsid w:val="00EE4987"/>
    <w:rsid w:val="00EF1D7A"/>
    <w:rsid w:val="00F512CA"/>
    <w:rsid w:val="00FD4848"/>
    <w:rsid w:val="00FF21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52C"/>
  <w15:chartTrackingRefBased/>
  <w15:docId w15:val="{8F40E4A3-3D06-46DE-814D-696095B5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26"/>
    <w:pPr>
      <w:ind w:left="720"/>
      <w:contextualSpacing/>
    </w:pPr>
  </w:style>
  <w:style w:type="character" w:styleId="Strong">
    <w:name w:val="Strong"/>
    <w:basedOn w:val="DefaultParagraphFont"/>
    <w:uiPriority w:val="22"/>
    <w:qFormat/>
    <w:rsid w:val="00C66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044">
      <w:bodyDiv w:val="1"/>
      <w:marLeft w:val="0"/>
      <w:marRight w:val="0"/>
      <w:marTop w:val="0"/>
      <w:marBottom w:val="0"/>
      <w:divBdr>
        <w:top w:val="none" w:sz="0" w:space="0" w:color="auto"/>
        <w:left w:val="none" w:sz="0" w:space="0" w:color="auto"/>
        <w:bottom w:val="none" w:sz="0" w:space="0" w:color="auto"/>
        <w:right w:val="none" w:sz="0" w:space="0" w:color="auto"/>
      </w:divBdr>
    </w:div>
    <w:div w:id="269495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665">
          <w:marLeft w:val="0"/>
          <w:marRight w:val="0"/>
          <w:marTop w:val="0"/>
          <w:marBottom w:val="0"/>
          <w:divBdr>
            <w:top w:val="none" w:sz="0" w:space="0" w:color="auto"/>
            <w:left w:val="none" w:sz="0" w:space="0" w:color="auto"/>
            <w:bottom w:val="none" w:sz="0" w:space="0" w:color="auto"/>
            <w:right w:val="none" w:sz="0" w:space="0" w:color="auto"/>
          </w:divBdr>
          <w:divsChild>
            <w:div w:id="7525104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7457309">
      <w:bodyDiv w:val="1"/>
      <w:marLeft w:val="0"/>
      <w:marRight w:val="0"/>
      <w:marTop w:val="0"/>
      <w:marBottom w:val="0"/>
      <w:divBdr>
        <w:top w:val="none" w:sz="0" w:space="0" w:color="auto"/>
        <w:left w:val="none" w:sz="0" w:space="0" w:color="auto"/>
        <w:bottom w:val="none" w:sz="0" w:space="0" w:color="auto"/>
        <w:right w:val="none" w:sz="0" w:space="0" w:color="auto"/>
      </w:divBdr>
    </w:div>
    <w:div w:id="164177381">
      <w:bodyDiv w:val="1"/>
      <w:marLeft w:val="0"/>
      <w:marRight w:val="0"/>
      <w:marTop w:val="0"/>
      <w:marBottom w:val="0"/>
      <w:divBdr>
        <w:top w:val="none" w:sz="0" w:space="0" w:color="auto"/>
        <w:left w:val="none" w:sz="0" w:space="0" w:color="auto"/>
        <w:bottom w:val="none" w:sz="0" w:space="0" w:color="auto"/>
        <w:right w:val="none" w:sz="0" w:space="0" w:color="auto"/>
      </w:divBdr>
      <w:divsChild>
        <w:div w:id="1510480634">
          <w:marLeft w:val="0"/>
          <w:marRight w:val="0"/>
          <w:marTop w:val="0"/>
          <w:marBottom w:val="0"/>
          <w:divBdr>
            <w:top w:val="none" w:sz="0" w:space="0" w:color="auto"/>
            <w:left w:val="none" w:sz="0" w:space="0" w:color="auto"/>
            <w:bottom w:val="none" w:sz="0" w:space="0" w:color="auto"/>
            <w:right w:val="none" w:sz="0" w:space="0" w:color="auto"/>
          </w:divBdr>
          <w:divsChild>
            <w:div w:id="97198679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5387830">
      <w:bodyDiv w:val="1"/>
      <w:marLeft w:val="0"/>
      <w:marRight w:val="0"/>
      <w:marTop w:val="0"/>
      <w:marBottom w:val="0"/>
      <w:divBdr>
        <w:top w:val="none" w:sz="0" w:space="0" w:color="auto"/>
        <w:left w:val="none" w:sz="0" w:space="0" w:color="auto"/>
        <w:bottom w:val="none" w:sz="0" w:space="0" w:color="auto"/>
        <w:right w:val="none" w:sz="0" w:space="0" w:color="auto"/>
      </w:divBdr>
      <w:divsChild>
        <w:div w:id="507134797">
          <w:marLeft w:val="0"/>
          <w:marRight w:val="0"/>
          <w:marTop w:val="0"/>
          <w:marBottom w:val="0"/>
          <w:divBdr>
            <w:top w:val="none" w:sz="0" w:space="0" w:color="auto"/>
            <w:left w:val="none" w:sz="0" w:space="0" w:color="auto"/>
            <w:bottom w:val="none" w:sz="0" w:space="0" w:color="auto"/>
            <w:right w:val="none" w:sz="0" w:space="0" w:color="auto"/>
          </w:divBdr>
          <w:divsChild>
            <w:div w:id="117199034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92850567">
      <w:bodyDiv w:val="1"/>
      <w:marLeft w:val="0"/>
      <w:marRight w:val="0"/>
      <w:marTop w:val="0"/>
      <w:marBottom w:val="0"/>
      <w:divBdr>
        <w:top w:val="none" w:sz="0" w:space="0" w:color="auto"/>
        <w:left w:val="none" w:sz="0" w:space="0" w:color="auto"/>
        <w:bottom w:val="none" w:sz="0" w:space="0" w:color="auto"/>
        <w:right w:val="none" w:sz="0" w:space="0" w:color="auto"/>
      </w:divBdr>
    </w:div>
    <w:div w:id="760950443">
      <w:bodyDiv w:val="1"/>
      <w:marLeft w:val="0"/>
      <w:marRight w:val="0"/>
      <w:marTop w:val="0"/>
      <w:marBottom w:val="0"/>
      <w:divBdr>
        <w:top w:val="none" w:sz="0" w:space="0" w:color="auto"/>
        <w:left w:val="none" w:sz="0" w:space="0" w:color="auto"/>
        <w:bottom w:val="none" w:sz="0" w:space="0" w:color="auto"/>
        <w:right w:val="none" w:sz="0" w:space="0" w:color="auto"/>
      </w:divBdr>
    </w:div>
    <w:div w:id="953441120">
      <w:bodyDiv w:val="1"/>
      <w:marLeft w:val="0"/>
      <w:marRight w:val="0"/>
      <w:marTop w:val="0"/>
      <w:marBottom w:val="0"/>
      <w:divBdr>
        <w:top w:val="none" w:sz="0" w:space="0" w:color="auto"/>
        <w:left w:val="none" w:sz="0" w:space="0" w:color="auto"/>
        <w:bottom w:val="none" w:sz="0" w:space="0" w:color="auto"/>
        <w:right w:val="none" w:sz="0" w:space="0" w:color="auto"/>
      </w:divBdr>
      <w:divsChild>
        <w:div w:id="1527717021">
          <w:marLeft w:val="0"/>
          <w:marRight w:val="0"/>
          <w:marTop w:val="0"/>
          <w:marBottom w:val="0"/>
          <w:divBdr>
            <w:top w:val="none" w:sz="0" w:space="0" w:color="auto"/>
            <w:left w:val="none" w:sz="0" w:space="0" w:color="auto"/>
            <w:bottom w:val="none" w:sz="0" w:space="0" w:color="auto"/>
            <w:right w:val="none" w:sz="0" w:space="0" w:color="auto"/>
          </w:divBdr>
          <w:divsChild>
            <w:div w:id="638416873">
              <w:marLeft w:val="0"/>
              <w:marRight w:val="0"/>
              <w:marTop w:val="0"/>
              <w:marBottom w:val="0"/>
              <w:divBdr>
                <w:top w:val="none" w:sz="0" w:space="0" w:color="auto"/>
                <w:left w:val="none" w:sz="0" w:space="0" w:color="auto"/>
                <w:bottom w:val="none" w:sz="0" w:space="0" w:color="auto"/>
                <w:right w:val="none" w:sz="0" w:space="0" w:color="auto"/>
              </w:divBdr>
              <w:divsChild>
                <w:div w:id="1537625038">
                  <w:marLeft w:val="0"/>
                  <w:marRight w:val="0"/>
                  <w:marTop w:val="0"/>
                  <w:marBottom w:val="0"/>
                  <w:divBdr>
                    <w:top w:val="none" w:sz="0" w:space="0" w:color="auto"/>
                    <w:left w:val="none" w:sz="0" w:space="0" w:color="auto"/>
                    <w:bottom w:val="none" w:sz="0" w:space="0" w:color="auto"/>
                    <w:right w:val="none" w:sz="0" w:space="0" w:color="auto"/>
                  </w:divBdr>
                </w:div>
                <w:div w:id="924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4174">
      <w:bodyDiv w:val="1"/>
      <w:marLeft w:val="0"/>
      <w:marRight w:val="0"/>
      <w:marTop w:val="0"/>
      <w:marBottom w:val="0"/>
      <w:divBdr>
        <w:top w:val="none" w:sz="0" w:space="0" w:color="auto"/>
        <w:left w:val="none" w:sz="0" w:space="0" w:color="auto"/>
        <w:bottom w:val="none" w:sz="0" w:space="0" w:color="auto"/>
        <w:right w:val="none" w:sz="0" w:space="0" w:color="auto"/>
      </w:divBdr>
      <w:divsChild>
        <w:div w:id="1398473657">
          <w:marLeft w:val="0"/>
          <w:marRight w:val="0"/>
          <w:marTop w:val="0"/>
          <w:marBottom w:val="0"/>
          <w:divBdr>
            <w:top w:val="none" w:sz="0" w:space="0" w:color="auto"/>
            <w:left w:val="none" w:sz="0" w:space="0" w:color="auto"/>
            <w:bottom w:val="none" w:sz="0" w:space="0" w:color="auto"/>
            <w:right w:val="none" w:sz="0" w:space="0" w:color="auto"/>
          </w:divBdr>
          <w:divsChild>
            <w:div w:id="394738994">
              <w:marLeft w:val="0"/>
              <w:marRight w:val="0"/>
              <w:marTop w:val="0"/>
              <w:marBottom w:val="0"/>
              <w:divBdr>
                <w:top w:val="none" w:sz="0" w:space="0" w:color="auto"/>
                <w:left w:val="none" w:sz="0" w:space="0" w:color="auto"/>
                <w:bottom w:val="none" w:sz="0" w:space="0" w:color="auto"/>
                <w:right w:val="none" w:sz="0" w:space="0" w:color="auto"/>
              </w:divBdr>
              <w:divsChild>
                <w:div w:id="1445659255">
                  <w:marLeft w:val="0"/>
                  <w:marRight w:val="0"/>
                  <w:marTop w:val="0"/>
                  <w:marBottom w:val="0"/>
                  <w:divBdr>
                    <w:top w:val="none" w:sz="0" w:space="0" w:color="auto"/>
                    <w:left w:val="none" w:sz="0" w:space="0" w:color="auto"/>
                    <w:bottom w:val="none" w:sz="0" w:space="0" w:color="auto"/>
                    <w:right w:val="none" w:sz="0" w:space="0" w:color="auto"/>
                  </w:divBdr>
                  <w:divsChild>
                    <w:div w:id="1771194712">
                      <w:marLeft w:val="0"/>
                      <w:marRight w:val="0"/>
                      <w:marTop w:val="0"/>
                      <w:marBottom w:val="0"/>
                      <w:divBdr>
                        <w:top w:val="none" w:sz="0" w:space="0" w:color="auto"/>
                        <w:left w:val="none" w:sz="0" w:space="0" w:color="auto"/>
                        <w:bottom w:val="none" w:sz="0" w:space="0" w:color="auto"/>
                        <w:right w:val="none" w:sz="0" w:space="0" w:color="auto"/>
                      </w:divBdr>
                      <w:divsChild>
                        <w:div w:id="1070233192">
                          <w:marLeft w:val="0"/>
                          <w:marRight w:val="0"/>
                          <w:marTop w:val="0"/>
                          <w:marBottom w:val="0"/>
                          <w:divBdr>
                            <w:top w:val="none" w:sz="0" w:space="0" w:color="auto"/>
                            <w:left w:val="none" w:sz="0" w:space="0" w:color="auto"/>
                            <w:bottom w:val="none" w:sz="0" w:space="0" w:color="auto"/>
                            <w:right w:val="none" w:sz="0" w:space="0" w:color="auto"/>
                          </w:divBdr>
                        </w:div>
                        <w:div w:id="725757732">
                          <w:marLeft w:val="0"/>
                          <w:marRight w:val="0"/>
                          <w:marTop w:val="0"/>
                          <w:marBottom w:val="0"/>
                          <w:divBdr>
                            <w:top w:val="none" w:sz="0" w:space="0" w:color="auto"/>
                            <w:left w:val="none" w:sz="0" w:space="0" w:color="auto"/>
                            <w:bottom w:val="none" w:sz="0" w:space="0" w:color="auto"/>
                            <w:right w:val="none" w:sz="0" w:space="0" w:color="auto"/>
                          </w:divBdr>
                        </w:div>
                        <w:div w:id="154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008976">
      <w:bodyDiv w:val="1"/>
      <w:marLeft w:val="0"/>
      <w:marRight w:val="0"/>
      <w:marTop w:val="0"/>
      <w:marBottom w:val="0"/>
      <w:divBdr>
        <w:top w:val="none" w:sz="0" w:space="0" w:color="auto"/>
        <w:left w:val="none" w:sz="0" w:space="0" w:color="auto"/>
        <w:bottom w:val="none" w:sz="0" w:space="0" w:color="auto"/>
        <w:right w:val="none" w:sz="0" w:space="0" w:color="auto"/>
      </w:divBdr>
      <w:divsChild>
        <w:div w:id="71853322">
          <w:marLeft w:val="0"/>
          <w:marRight w:val="0"/>
          <w:marTop w:val="0"/>
          <w:marBottom w:val="0"/>
          <w:divBdr>
            <w:top w:val="none" w:sz="0" w:space="0" w:color="auto"/>
            <w:left w:val="none" w:sz="0" w:space="0" w:color="auto"/>
            <w:bottom w:val="none" w:sz="0" w:space="0" w:color="auto"/>
            <w:right w:val="none" w:sz="0" w:space="0" w:color="auto"/>
          </w:divBdr>
          <w:divsChild>
            <w:div w:id="966199453">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
                <w:div w:id="1385907150">
                  <w:marLeft w:val="0"/>
                  <w:marRight w:val="0"/>
                  <w:marTop w:val="0"/>
                  <w:marBottom w:val="0"/>
                  <w:divBdr>
                    <w:top w:val="none" w:sz="0" w:space="0" w:color="auto"/>
                    <w:left w:val="none" w:sz="0" w:space="0" w:color="auto"/>
                    <w:bottom w:val="none" w:sz="0" w:space="0" w:color="auto"/>
                    <w:right w:val="none" w:sz="0" w:space="0" w:color="auto"/>
                  </w:divBdr>
                </w:div>
                <w:div w:id="14249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1367">
      <w:bodyDiv w:val="1"/>
      <w:marLeft w:val="0"/>
      <w:marRight w:val="0"/>
      <w:marTop w:val="0"/>
      <w:marBottom w:val="0"/>
      <w:divBdr>
        <w:top w:val="none" w:sz="0" w:space="0" w:color="auto"/>
        <w:left w:val="none" w:sz="0" w:space="0" w:color="auto"/>
        <w:bottom w:val="none" w:sz="0" w:space="0" w:color="auto"/>
        <w:right w:val="none" w:sz="0" w:space="0" w:color="auto"/>
      </w:divBdr>
    </w:div>
    <w:div w:id="1471439548">
      <w:bodyDiv w:val="1"/>
      <w:marLeft w:val="0"/>
      <w:marRight w:val="0"/>
      <w:marTop w:val="0"/>
      <w:marBottom w:val="0"/>
      <w:divBdr>
        <w:top w:val="none" w:sz="0" w:space="0" w:color="auto"/>
        <w:left w:val="none" w:sz="0" w:space="0" w:color="auto"/>
        <w:bottom w:val="none" w:sz="0" w:space="0" w:color="auto"/>
        <w:right w:val="none" w:sz="0" w:space="0" w:color="auto"/>
      </w:divBdr>
    </w:div>
    <w:div w:id="1521746096">
      <w:bodyDiv w:val="1"/>
      <w:marLeft w:val="0"/>
      <w:marRight w:val="0"/>
      <w:marTop w:val="0"/>
      <w:marBottom w:val="0"/>
      <w:divBdr>
        <w:top w:val="none" w:sz="0" w:space="0" w:color="auto"/>
        <w:left w:val="none" w:sz="0" w:space="0" w:color="auto"/>
        <w:bottom w:val="none" w:sz="0" w:space="0" w:color="auto"/>
        <w:right w:val="none" w:sz="0" w:space="0" w:color="auto"/>
      </w:divBdr>
    </w:div>
    <w:div w:id="1666476902">
      <w:bodyDiv w:val="1"/>
      <w:marLeft w:val="0"/>
      <w:marRight w:val="0"/>
      <w:marTop w:val="0"/>
      <w:marBottom w:val="0"/>
      <w:divBdr>
        <w:top w:val="none" w:sz="0" w:space="0" w:color="auto"/>
        <w:left w:val="none" w:sz="0" w:space="0" w:color="auto"/>
        <w:bottom w:val="none" w:sz="0" w:space="0" w:color="auto"/>
        <w:right w:val="none" w:sz="0" w:space="0" w:color="auto"/>
      </w:divBdr>
    </w:div>
    <w:div w:id="1798374419">
      <w:bodyDiv w:val="1"/>
      <w:marLeft w:val="0"/>
      <w:marRight w:val="0"/>
      <w:marTop w:val="0"/>
      <w:marBottom w:val="0"/>
      <w:divBdr>
        <w:top w:val="none" w:sz="0" w:space="0" w:color="auto"/>
        <w:left w:val="none" w:sz="0" w:space="0" w:color="auto"/>
        <w:bottom w:val="none" w:sz="0" w:space="0" w:color="auto"/>
        <w:right w:val="none" w:sz="0" w:space="0" w:color="auto"/>
      </w:divBdr>
      <w:divsChild>
        <w:div w:id="1496531715">
          <w:marLeft w:val="0"/>
          <w:marRight w:val="0"/>
          <w:marTop w:val="0"/>
          <w:marBottom w:val="120"/>
          <w:divBdr>
            <w:top w:val="none" w:sz="0" w:space="0" w:color="auto"/>
            <w:left w:val="none" w:sz="0" w:space="0" w:color="auto"/>
            <w:bottom w:val="none" w:sz="0" w:space="0" w:color="auto"/>
            <w:right w:val="none" w:sz="0" w:space="0" w:color="auto"/>
          </w:divBdr>
          <w:divsChild>
            <w:div w:id="2132091061">
              <w:marLeft w:val="0"/>
              <w:marRight w:val="0"/>
              <w:marTop w:val="0"/>
              <w:marBottom w:val="0"/>
              <w:divBdr>
                <w:top w:val="none" w:sz="0" w:space="0" w:color="auto"/>
                <w:left w:val="none" w:sz="0" w:space="0" w:color="auto"/>
                <w:bottom w:val="none" w:sz="0" w:space="0" w:color="auto"/>
                <w:right w:val="none" w:sz="0" w:space="0" w:color="auto"/>
              </w:divBdr>
              <w:divsChild>
                <w:div w:id="1763143704">
                  <w:marLeft w:val="0"/>
                  <w:marRight w:val="0"/>
                  <w:marTop w:val="0"/>
                  <w:marBottom w:val="0"/>
                  <w:divBdr>
                    <w:top w:val="none" w:sz="0" w:space="0" w:color="auto"/>
                    <w:left w:val="none" w:sz="0" w:space="0" w:color="auto"/>
                    <w:bottom w:val="none" w:sz="0" w:space="0" w:color="auto"/>
                    <w:right w:val="none" w:sz="0" w:space="0" w:color="auto"/>
                  </w:divBdr>
                  <w:divsChild>
                    <w:div w:id="8365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Talis Tebecis</dc:creator>
  <cp:keywords/>
  <dc:description/>
  <cp:lastModifiedBy>Talis Tebecis</cp:lastModifiedBy>
  <cp:revision>51</cp:revision>
  <dcterms:created xsi:type="dcterms:W3CDTF">2024-03-16T13:13:00Z</dcterms:created>
  <dcterms:modified xsi:type="dcterms:W3CDTF">2024-03-17T19:35:00Z</dcterms:modified>
</cp:coreProperties>
</file>