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57"/>
        <w:gridCol w:w="3033"/>
        <w:gridCol w:w="3228"/>
        <w:gridCol w:w="1107"/>
      </w:tblGrid>
      <w:tr>
        <w:trPr>
          <w:trHeight w:val="623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Characteristics / Predictor Variables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 Odds Ratio (aOR)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Confidence Interval (CI)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Maternal Education Level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 Education (Reference)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Primary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—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Secondary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—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Higher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— 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Wealth Index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Poorest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Poorer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—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—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Richer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—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—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Locality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Urban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Rural Locality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—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Physical Barrier (Distance to Health Facility)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 Barrier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—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Clinical Care at Delivery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Home/Other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Clinical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—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Received Antenatal Care (ANC)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ANC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Received 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—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 of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Male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Female Child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— 1.23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2026-10-09T19:49:37Z</dcterms:modified>
  <cp:category/>
</cp:coreProperties>
</file>