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D421" w14:textId="77777777" w:rsidR="00060CD5" w:rsidRDefault="00060CD5" w:rsidP="00060CD5">
      <w:pPr>
        <w:pStyle w:val="Title"/>
      </w:pPr>
      <w:r>
        <w:t>D</w:t>
      </w:r>
      <w:r w:rsidRPr="00701812">
        <w:t xml:space="preserve">omestic Economic Policy Uncertainty and propagation of shocks to trade and investment within the </w:t>
      </w:r>
      <w:proofErr w:type="gramStart"/>
      <w:r w:rsidRPr="00701812">
        <w:t>G20</w:t>
      </w:r>
      <w:proofErr w:type="gramEnd"/>
    </w:p>
    <w:p w14:paraId="27433AE0" w14:textId="77777777" w:rsidR="00060CD5" w:rsidRDefault="00060CD5" w:rsidP="00060CD5"/>
    <w:p w14:paraId="622DE3F7" w14:textId="77777777" w:rsidR="00060CD5" w:rsidRPr="00C05490" w:rsidRDefault="00060CD5" w:rsidP="00060CD5">
      <w:pPr>
        <w:spacing w:line="276" w:lineRule="auto"/>
        <w:jc w:val="left"/>
        <w:rPr>
          <w:b/>
          <w:bCs/>
          <w:sz w:val="22"/>
          <w:szCs w:val="22"/>
        </w:rPr>
      </w:pPr>
      <w:r w:rsidRPr="00C05490">
        <w:rPr>
          <w:b/>
          <w:bCs/>
          <w:sz w:val="22"/>
          <w:szCs w:val="22"/>
        </w:rPr>
        <w:t>Authors:</w:t>
      </w:r>
    </w:p>
    <w:p w14:paraId="158F6608" w14:textId="77777777" w:rsidR="00060CD5" w:rsidRPr="00B11DF6" w:rsidRDefault="00060CD5" w:rsidP="00060CD5">
      <w:pPr>
        <w:spacing w:line="276" w:lineRule="auto"/>
        <w:jc w:val="left"/>
        <w:rPr>
          <w:sz w:val="22"/>
          <w:szCs w:val="22"/>
        </w:rPr>
      </w:pPr>
      <w:r w:rsidRPr="009D6987">
        <w:rPr>
          <w:sz w:val="22"/>
          <w:szCs w:val="22"/>
        </w:rPr>
        <w:t>Kalyan Kolukuluri</w:t>
      </w:r>
      <w:r w:rsidRPr="003A4567">
        <w:rPr>
          <w:rStyle w:val="FootnoteReference"/>
        </w:rPr>
        <w:footnoteReference w:id="1"/>
      </w:r>
      <w:r>
        <w:rPr>
          <w:sz w:val="22"/>
          <w:szCs w:val="22"/>
        </w:rPr>
        <w:t xml:space="preserve">, Assistant Professor (Economics), </w:t>
      </w:r>
      <w:r w:rsidRPr="009D6987">
        <w:rPr>
          <w:sz w:val="22"/>
          <w:szCs w:val="22"/>
        </w:rPr>
        <w:t>Indian Institute of Management Visakhapatnam</w:t>
      </w:r>
    </w:p>
    <w:p w14:paraId="3949F894" w14:textId="77777777" w:rsidR="00060CD5" w:rsidRPr="00C05490" w:rsidRDefault="00060CD5" w:rsidP="00060CD5">
      <w:pPr>
        <w:spacing w:line="276" w:lineRule="auto"/>
        <w:jc w:val="left"/>
        <w:rPr>
          <w:sz w:val="22"/>
          <w:szCs w:val="22"/>
        </w:rPr>
      </w:pPr>
      <w:proofErr w:type="spellStart"/>
      <w:r w:rsidRPr="009D6987">
        <w:rPr>
          <w:sz w:val="22"/>
          <w:szCs w:val="22"/>
        </w:rPr>
        <w:t>Asmita</w:t>
      </w:r>
      <w:proofErr w:type="spellEnd"/>
      <w:r w:rsidRPr="009D6987">
        <w:rPr>
          <w:sz w:val="22"/>
          <w:szCs w:val="22"/>
        </w:rPr>
        <w:t xml:space="preserve"> Verma</w:t>
      </w:r>
      <w:r>
        <w:rPr>
          <w:sz w:val="22"/>
          <w:szCs w:val="22"/>
        </w:rPr>
        <w:t xml:space="preserve">, Assistant Professor (Economics), </w:t>
      </w:r>
      <w:r w:rsidRPr="009D6987">
        <w:rPr>
          <w:sz w:val="22"/>
          <w:szCs w:val="22"/>
        </w:rPr>
        <w:t>Indian Institute of Management Visakhapatnam</w:t>
      </w:r>
    </w:p>
    <w:p w14:paraId="65D21E07" w14:textId="77777777" w:rsidR="00060CD5" w:rsidRPr="009D6987" w:rsidRDefault="00060CD5" w:rsidP="00060CD5">
      <w:pPr>
        <w:spacing w:line="276" w:lineRule="auto"/>
        <w:jc w:val="left"/>
        <w:rPr>
          <w:sz w:val="22"/>
          <w:szCs w:val="22"/>
          <w:vertAlign w:val="superscript"/>
        </w:rPr>
      </w:pPr>
      <w:proofErr w:type="spellStart"/>
      <w:r w:rsidRPr="009D6987">
        <w:rPr>
          <w:sz w:val="22"/>
          <w:szCs w:val="22"/>
        </w:rPr>
        <w:t>Tamali</w:t>
      </w:r>
      <w:proofErr w:type="spellEnd"/>
      <w:r w:rsidRPr="009D6987">
        <w:rPr>
          <w:sz w:val="22"/>
          <w:szCs w:val="22"/>
        </w:rPr>
        <w:t xml:space="preserve"> Chakraborty</w:t>
      </w:r>
      <w:r>
        <w:rPr>
          <w:sz w:val="22"/>
          <w:szCs w:val="22"/>
        </w:rPr>
        <w:t xml:space="preserve">, Assistant Professor (Economics), </w:t>
      </w:r>
      <w:r w:rsidRPr="009D6987">
        <w:rPr>
          <w:sz w:val="22"/>
          <w:szCs w:val="22"/>
        </w:rPr>
        <w:t>Indian Institute of Management Visakhapatnam</w:t>
      </w:r>
      <w:r w:rsidRPr="009D6987" w:rsidDel="00397B1E">
        <w:rPr>
          <w:sz w:val="22"/>
          <w:szCs w:val="22"/>
          <w:vertAlign w:val="superscript"/>
        </w:rPr>
        <w:t xml:space="preserve"> </w:t>
      </w:r>
    </w:p>
    <w:p w14:paraId="77137FD0" w14:textId="77777777" w:rsidR="00060CD5" w:rsidRPr="00060CD5" w:rsidRDefault="00060CD5" w:rsidP="00060CD5"/>
    <w:p w14:paraId="70812F0D" w14:textId="77777777" w:rsidR="003A4567" w:rsidRDefault="003A4567" w:rsidP="003A4567">
      <w:pPr>
        <w:pStyle w:val="Heading1"/>
        <w:rPr>
          <w:lang w:val="en-IN"/>
        </w:rPr>
      </w:pPr>
      <w:r w:rsidRPr="1AEC9816">
        <w:rPr>
          <w:lang w:val="en-IN"/>
        </w:rPr>
        <w:t xml:space="preserve">Appendices </w:t>
      </w:r>
    </w:p>
    <w:p w14:paraId="26F6F272" w14:textId="77777777" w:rsidR="003A4567" w:rsidRDefault="003A4567" w:rsidP="003A4567">
      <w:pPr>
        <w:rPr>
          <w:lang w:val="en-IN"/>
        </w:rPr>
      </w:pPr>
    </w:p>
    <w:p w14:paraId="6ABFC878" w14:textId="77777777" w:rsidR="003A4567" w:rsidRDefault="003A4567" w:rsidP="003A4567">
      <w:pPr>
        <w:pStyle w:val="Heading2"/>
        <w:rPr>
          <w:lang w:val="en-IN"/>
        </w:rPr>
      </w:pPr>
      <w:bookmarkStart w:id="0" w:name="_Ref131506615"/>
      <w:r>
        <w:rPr>
          <w:lang w:val="en-IN"/>
        </w:rPr>
        <w:t>Appendix A1: Spillover Index</w:t>
      </w:r>
      <w:bookmarkEnd w:id="0"/>
    </w:p>
    <w:p w14:paraId="5A7A8141" w14:textId="77777777" w:rsidR="003A4567" w:rsidRDefault="003A4567" w:rsidP="003A4567">
      <w:pPr>
        <w:rPr>
          <w:lang w:val="en-IN"/>
        </w:rPr>
      </w:pPr>
    </w:p>
    <w:p w14:paraId="28BD7667" w14:textId="77777777" w:rsidR="003A4567" w:rsidRPr="009B7501" w:rsidRDefault="003A4567" w:rsidP="003A4567">
      <w:pPr>
        <w:rPr>
          <w:lang w:val="en-IN"/>
        </w:rPr>
      </w:pPr>
      <m:oMath>
        <m:r>
          <m:rPr>
            <m:sty m:val="p"/>
          </m:rPr>
          <w:rPr>
            <w:rFonts w:ascii="Cambria Math" w:hAnsi="Cambria Math"/>
            <w:lang w:val="en-IN"/>
          </w:rPr>
          <m:t>SOI</m:t>
        </m:r>
        <m:r>
          <w:rPr>
            <w:rFonts w:ascii="Cambria Math" w:hAnsi="Cambria Math"/>
            <w:lang w:val="en-IN"/>
          </w:rPr>
          <m:t>:=100×</m:t>
        </m:r>
        <m:f>
          <m:fPr>
            <m:ctrlPr>
              <w:rPr>
                <w:rFonts w:ascii="Cambria Math" w:hAnsi="Cambria Math"/>
                <w:lang w:val="en-IN"/>
              </w:rPr>
            </m:ctrlPr>
          </m:fPr>
          <m:num>
            <m:r>
              <w:rPr>
                <w:rFonts w:ascii="Cambria Math" w:hAnsi="Cambria Math"/>
                <w:lang w:val="en-IN"/>
              </w:rPr>
              <m:t>1</m:t>
            </m:r>
          </m:num>
          <m:den>
            <m:r>
              <w:rPr>
                <w:rFonts w:ascii="Cambria Math" w:hAnsi="Cambria Math"/>
                <w:lang w:val="en-IN"/>
              </w:rPr>
              <m:t>N</m:t>
            </m:r>
          </m:den>
        </m:f>
        <m:nary>
          <m:naryPr>
            <m:chr m:val="∑"/>
            <m:limLoc m:val="undOvr"/>
            <m:grow m:val="1"/>
            <m:ctrlPr>
              <w:rPr>
                <w:rFonts w:ascii="Cambria Math" w:hAnsi="Cambria Math"/>
                <w:lang w:val="en-IN"/>
              </w:rPr>
            </m:ctrlPr>
          </m:naryPr>
          <m:sub>
            <m:r>
              <w:rPr>
                <w:rFonts w:ascii="Cambria Math" w:hAnsi="Cambria Math"/>
                <w:lang w:val="en-IN"/>
              </w:rPr>
              <m:t>i=1</m:t>
            </m:r>
          </m:sub>
          <m:sup>
            <m:r>
              <w:rPr>
                <w:rFonts w:ascii="Cambria Math" w:hAnsi="Cambria Math"/>
                <w:lang w:val="en-IN"/>
              </w:rPr>
              <m:t>N</m:t>
            </m:r>
          </m:sup>
          <m:e>
            <m:r>
              <w:rPr>
                <w:rFonts w:ascii="Cambria Math" w:hAnsi="Cambria Math"/>
                <w:lang w:val="en-IN"/>
              </w:rPr>
              <m:t> </m:t>
            </m:r>
          </m:e>
        </m:nary>
        <m:f>
          <m:fPr>
            <m:ctrlPr>
              <w:rPr>
                <w:rFonts w:ascii="Cambria Math" w:hAnsi="Cambria Math"/>
                <w:lang w:val="en-IN"/>
              </w:rPr>
            </m:ctrlPr>
          </m:fPr>
          <m:num>
            <m:nary>
              <m:naryPr>
                <m:chr m:val="∑"/>
                <m:limLoc m:val="undOvr"/>
                <m:grow m:val="1"/>
                <m:supHide m:val="1"/>
                <m:ctrlPr>
                  <w:rPr>
                    <w:rFonts w:ascii="Cambria Math" w:hAnsi="Cambria Math"/>
                    <w:lang w:val="en-IN"/>
                  </w:rPr>
                </m:ctrlPr>
              </m:naryPr>
              <m:sub>
                <m:r>
                  <w:rPr>
                    <w:rFonts w:ascii="Cambria Math" w:hAnsi="Cambria Math"/>
                    <w:lang w:val="en-IN"/>
                  </w:rPr>
                  <m:t>i≠j</m:t>
                </m:r>
              </m:sub>
              <m:sup/>
              <m:e>
                <m:r>
                  <w:rPr>
                    <w:rFonts w:ascii="Cambria Math" w:hAnsi="Cambria Math"/>
                    <w:lang w:val="en-IN"/>
                  </w:rPr>
                  <m:t> </m:t>
                </m:r>
              </m:e>
            </m:nary>
            <m:nary>
              <m:naryPr>
                <m:chr m:val="∑"/>
                <m:limLoc m:val="undOvr"/>
                <m:grow m:val="1"/>
                <m:ctrlPr>
                  <w:rPr>
                    <w:rFonts w:ascii="Cambria Math" w:hAnsi="Cambria Math"/>
                    <w:lang w:val="en-IN"/>
                  </w:rPr>
                </m:ctrlPr>
              </m:naryPr>
              <m:sub>
                <m:r>
                  <w:rPr>
                    <w:rFonts w:ascii="Cambria Math" w:hAnsi="Cambria Math"/>
                    <w:lang w:val="en-IN"/>
                  </w:rPr>
                  <m:t>h=0</m:t>
                </m:r>
              </m:sub>
              <m:sup>
                <m:r>
                  <w:rPr>
                    <w:rFonts w:ascii="Cambria Math" w:hAnsi="Cambria Math"/>
                    <w:lang w:val="en-IN"/>
                  </w:rPr>
                  <m:t>H-1</m:t>
                </m:r>
              </m:sup>
              <m:e>
                <m:r>
                  <w:rPr>
                    <w:rFonts w:ascii="Cambria Math" w:hAnsi="Cambria Math"/>
                    <w:lang w:val="en-IN"/>
                  </w:rPr>
                  <m:t> </m:t>
                </m:r>
              </m:e>
            </m:nary>
            <m:sSubSup>
              <m:sSubSupPr>
                <m:ctrlPr>
                  <w:rPr>
                    <w:rFonts w:ascii="Cambria Math" w:hAnsi="Cambria Math"/>
                    <w:lang w:val="en-IN"/>
                  </w:rPr>
                </m:ctrlPr>
              </m:sSubSupPr>
              <m:e>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A</m:t>
                        </m:r>
                      </m:e>
                      <m:sub>
                        <m:r>
                          <w:rPr>
                            <w:rFonts w:ascii="Cambria Math" w:hAnsi="Cambria Math"/>
                            <w:lang w:val="en-IN"/>
                          </w:rPr>
                          <m:t>h</m:t>
                        </m:r>
                      </m:sub>
                    </m:sSub>
                    <m:r>
                      <w:rPr>
                        <w:rFonts w:ascii="Cambria Math" w:hAnsi="Cambria Math"/>
                        <w:lang w:val="en-IN"/>
                      </w:rPr>
                      <m:t>L</m:t>
                    </m:r>
                  </m:e>
                </m:d>
              </m:e>
              <m:sub>
                <m:r>
                  <w:rPr>
                    <w:rFonts w:ascii="Cambria Math" w:hAnsi="Cambria Math"/>
                    <w:lang w:val="en-IN"/>
                  </w:rPr>
                  <m:t>ij</m:t>
                </m:r>
              </m:sub>
              <m:sup>
                <m:r>
                  <w:rPr>
                    <w:rFonts w:ascii="Cambria Math" w:hAnsi="Cambria Math"/>
                    <w:lang w:val="en-IN"/>
                  </w:rPr>
                  <m:t>2</m:t>
                </m:r>
              </m:sup>
            </m:sSubSup>
          </m:num>
          <m:den>
            <m:nary>
              <m:naryPr>
                <m:chr m:val="∑"/>
                <m:limLoc m:val="undOvr"/>
                <m:grow m:val="1"/>
                <m:ctrlPr>
                  <w:rPr>
                    <w:rFonts w:ascii="Cambria Math" w:hAnsi="Cambria Math"/>
                    <w:lang w:val="en-IN"/>
                  </w:rPr>
                </m:ctrlPr>
              </m:naryPr>
              <m:sub>
                <m:r>
                  <w:rPr>
                    <w:rFonts w:ascii="Cambria Math" w:hAnsi="Cambria Math"/>
                    <w:lang w:val="en-IN"/>
                  </w:rPr>
                  <m:t>h=0</m:t>
                </m:r>
              </m:sub>
              <m:sup>
                <m:r>
                  <w:rPr>
                    <w:rFonts w:ascii="Cambria Math" w:hAnsi="Cambria Math"/>
                    <w:lang w:val="en-IN"/>
                  </w:rPr>
                  <m:t>H-1</m:t>
                </m:r>
              </m:sup>
              <m:e>
                <m:r>
                  <w:rPr>
                    <w:rFonts w:ascii="Cambria Math" w:hAnsi="Cambria Math"/>
                    <w:lang w:val="en-IN"/>
                  </w:rPr>
                  <m:t> </m:t>
                </m:r>
              </m:e>
            </m:nary>
            <m:sSub>
              <m:sSubPr>
                <m:ctrlPr>
                  <w:rPr>
                    <w:rFonts w:ascii="Cambria Math" w:hAnsi="Cambria Math"/>
                    <w:lang w:val="en-IN"/>
                  </w:rPr>
                </m:ctrlPr>
              </m:sSubPr>
              <m:e>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A</m:t>
                        </m:r>
                      </m:e>
                      <m:sub>
                        <m:r>
                          <w:rPr>
                            <w:rFonts w:ascii="Cambria Math" w:hAnsi="Cambria Math"/>
                            <w:lang w:val="en-IN"/>
                          </w:rPr>
                          <m:t>h</m:t>
                        </m:r>
                      </m:sub>
                    </m:sSub>
                    <m:sSub>
                      <m:sSubPr>
                        <m:ctrlPr>
                          <w:rPr>
                            <w:rFonts w:ascii="Cambria Math" w:hAnsi="Cambria Math"/>
                            <w:lang w:val="en-IN"/>
                          </w:rPr>
                        </m:ctrlPr>
                      </m:sSubPr>
                      <m:e>
                        <m:r>
                          <m:rPr>
                            <m:sty m:val="p"/>
                          </m:rPr>
                          <w:rPr>
                            <w:rFonts w:ascii="Cambria Math" w:hAnsi="Cambria Math"/>
                            <w:lang w:val="en-IN"/>
                          </w:rPr>
                          <m:t>Σ</m:t>
                        </m:r>
                      </m:e>
                      <m:sub>
                        <m:r>
                          <w:rPr>
                            <w:rFonts w:ascii="Cambria Math" w:hAnsi="Cambria Math"/>
                            <w:lang w:val="en-IN"/>
                          </w:rPr>
                          <m:t>ϵ</m:t>
                        </m:r>
                      </m:sub>
                    </m:sSub>
                    <m:sSubSup>
                      <m:sSubSupPr>
                        <m:ctrlPr>
                          <w:rPr>
                            <w:rFonts w:ascii="Cambria Math" w:hAnsi="Cambria Math"/>
                            <w:lang w:val="en-IN"/>
                          </w:rPr>
                        </m:ctrlPr>
                      </m:sSubSupPr>
                      <m:e>
                        <m:r>
                          <w:rPr>
                            <w:rFonts w:ascii="Cambria Math" w:hAnsi="Cambria Math"/>
                            <w:lang w:val="en-IN"/>
                          </w:rPr>
                          <m:t>A</m:t>
                        </m:r>
                      </m:e>
                      <m:sub>
                        <m:r>
                          <w:rPr>
                            <w:rFonts w:ascii="Cambria Math" w:hAnsi="Cambria Math"/>
                            <w:lang w:val="en-IN"/>
                          </w:rPr>
                          <m:t>h</m:t>
                        </m:r>
                      </m:sub>
                      <m:sup>
                        <m:r>
                          <m:rPr>
                            <m:sty m:val="p"/>
                          </m:rPr>
                          <w:rPr>
                            <w:rFonts w:ascii="Cambria Math" w:hAnsi="Cambria Math"/>
                            <w:lang w:val="en-IN"/>
                          </w:rPr>
                          <m:t>'</m:t>
                        </m:r>
                      </m:sup>
                    </m:sSubSup>
                  </m:e>
                </m:d>
              </m:e>
              <m:sub>
                <m:r>
                  <w:rPr>
                    <w:rFonts w:ascii="Cambria Math" w:hAnsi="Cambria Math"/>
                    <w:lang w:val="en-IN"/>
                  </w:rPr>
                  <m:t>ii</m:t>
                </m:r>
              </m:sub>
            </m:sSub>
          </m:den>
        </m:f>
      </m:oMath>
      <w:r>
        <w:rPr>
          <w:rFonts w:eastAsiaTheme="minorEastAsia"/>
          <w:lang w:val="en-IN"/>
        </w:rPr>
        <w:t xml:space="preserve"> ; country ‘</w:t>
      </w:r>
      <w:proofErr w:type="spellStart"/>
      <w:r>
        <w:rPr>
          <w:rFonts w:eastAsiaTheme="minorEastAsia"/>
          <w:lang w:val="en-IN"/>
        </w:rPr>
        <w:t>i</w:t>
      </w:r>
      <w:proofErr w:type="spellEnd"/>
      <w:r>
        <w:rPr>
          <w:rFonts w:eastAsiaTheme="minorEastAsia"/>
          <w:lang w:val="en-IN"/>
        </w:rPr>
        <w:t>’ is recipient and ‘j’ is source of EPU.</w:t>
      </w:r>
    </w:p>
    <w:p w14:paraId="07741474" w14:textId="77777777" w:rsidR="003A4567" w:rsidRDefault="003A4567" w:rsidP="003A4567">
      <w:pPr>
        <w:pStyle w:val="Heading2"/>
        <w:rPr>
          <w:lang w:val="en-IN"/>
        </w:rPr>
      </w:pPr>
    </w:p>
    <w:p w14:paraId="0B41611D" w14:textId="77777777" w:rsidR="003A4567" w:rsidRDefault="003A4567" w:rsidP="003A4567">
      <w:pPr>
        <w:pStyle w:val="Heading2"/>
        <w:rPr>
          <w:lang w:val="en-IN"/>
        </w:rPr>
      </w:pPr>
      <w:r>
        <w:rPr>
          <w:lang w:val="en-IN"/>
        </w:rPr>
        <w:t>Appendix A2: EPU index method</w:t>
      </w:r>
    </w:p>
    <w:p w14:paraId="66374723" w14:textId="77777777" w:rsidR="003A4567" w:rsidRDefault="003A4567" w:rsidP="003A4567">
      <w:pPr>
        <w:rPr>
          <w:rFonts w:ascii="Times New Roman" w:hAnsi="Times New Roman" w:cs="Times New Roman"/>
        </w:rPr>
      </w:pPr>
    </w:p>
    <w:p w14:paraId="71B0ECFE" w14:textId="77777777" w:rsidR="003A4567" w:rsidRPr="00BC1953" w:rsidRDefault="003A4567" w:rsidP="003A4567">
      <w:pPr>
        <w:pStyle w:val="Caption"/>
        <w:keepNext/>
      </w:pPr>
      <w:bookmarkStart w:id="1" w:name="_Ref131517017"/>
      <w:r>
        <w:t xml:space="preserve">Table </w:t>
      </w:r>
      <w:r>
        <w:fldChar w:fldCharType="begin"/>
      </w:r>
      <w:r>
        <w:instrText xml:space="preserve"> SEQ Table \* ARABIC </w:instrText>
      </w:r>
      <w:r>
        <w:fldChar w:fldCharType="separate"/>
      </w:r>
      <w:r>
        <w:rPr>
          <w:noProof/>
        </w:rPr>
        <w:t>2</w:t>
      </w:r>
      <w:r>
        <w:fldChar w:fldCharType="end"/>
      </w:r>
      <w:bookmarkEnd w:id="1"/>
      <w:r>
        <w:t xml:space="preserve">: EPU Index for select G20 </w:t>
      </w:r>
      <w:proofErr w:type="gramStart"/>
      <w:r>
        <w:t>countries</w:t>
      </w:r>
      <w:proofErr w:type="gramEnd"/>
    </w:p>
    <w:tbl>
      <w:tblPr>
        <w:tblStyle w:val="TableGrid"/>
        <w:tblW w:w="9120" w:type="dxa"/>
        <w:tblLayout w:type="fixed"/>
        <w:tblLook w:val="06A0" w:firstRow="1" w:lastRow="0" w:firstColumn="1" w:lastColumn="0" w:noHBand="1" w:noVBand="1"/>
      </w:tblPr>
      <w:tblGrid>
        <w:gridCol w:w="960"/>
        <w:gridCol w:w="2325"/>
        <w:gridCol w:w="2850"/>
        <w:gridCol w:w="2985"/>
      </w:tblGrid>
      <w:tr w:rsidR="003A4567" w14:paraId="6013D5AD" w14:textId="77777777" w:rsidTr="001C69CA">
        <w:trPr>
          <w:trHeight w:val="45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B80BFF7" w14:textId="77777777" w:rsidR="003A4567" w:rsidRDefault="003A4567" w:rsidP="001C69CA">
            <w:pPr>
              <w:jc w:val="center"/>
              <w:rPr>
                <w:rFonts w:ascii="Times New Roman" w:eastAsia="Times New Roman" w:hAnsi="Times New Roman" w:cs="Times New Roman"/>
                <w:b/>
                <w:color w:val="000000" w:themeColor="text1"/>
                <w:sz w:val="20"/>
                <w:szCs w:val="20"/>
              </w:rPr>
            </w:pPr>
            <w:r w:rsidRPr="69FD18A1">
              <w:rPr>
                <w:rFonts w:ascii="Times New Roman" w:eastAsia="Times New Roman" w:hAnsi="Times New Roman" w:cs="Times New Roman"/>
                <w:b/>
                <w:color w:val="000000" w:themeColor="text1"/>
                <w:sz w:val="20"/>
                <w:szCs w:val="20"/>
              </w:rPr>
              <w:t>Authors</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5512B98" w14:textId="77777777" w:rsidR="003A4567" w:rsidRDefault="003A4567" w:rsidP="001C69CA">
            <w:pPr>
              <w:jc w:val="center"/>
              <w:rPr>
                <w:rFonts w:ascii="Times New Roman" w:eastAsia="Times New Roman" w:hAnsi="Times New Roman" w:cs="Times New Roman"/>
                <w:b/>
                <w:color w:val="000000" w:themeColor="text1"/>
                <w:sz w:val="20"/>
                <w:szCs w:val="20"/>
              </w:rPr>
            </w:pPr>
            <w:r w:rsidRPr="69FD18A1">
              <w:rPr>
                <w:rFonts w:ascii="Times New Roman" w:eastAsia="Times New Roman" w:hAnsi="Times New Roman" w:cs="Times New Roman"/>
                <w:b/>
                <w:bCs/>
                <w:color w:val="000000" w:themeColor="text1"/>
                <w:sz w:val="20"/>
                <w:szCs w:val="20"/>
              </w:rPr>
              <w:t>Countries</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0216ED" w14:textId="77777777" w:rsidR="003A4567" w:rsidRDefault="003A4567" w:rsidP="001C69CA">
            <w:pPr>
              <w:jc w:val="center"/>
              <w:rPr>
                <w:rFonts w:ascii="Times New Roman" w:eastAsia="Times New Roman" w:hAnsi="Times New Roman" w:cs="Times New Roman"/>
                <w:b/>
                <w:color w:val="000000" w:themeColor="text1"/>
                <w:sz w:val="20"/>
                <w:szCs w:val="20"/>
              </w:rPr>
            </w:pPr>
            <w:r w:rsidRPr="69FD18A1">
              <w:rPr>
                <w:rFonts w:ascii="Times New Roman" w:eastAsia="Times New Roman" w:hAnsi="Times New Roman" w:cs="Times New Roman"/>
                <w:b/>
                <w:bCs/>
                <w:color w:val="000000" w:themeColor="text1"/>
                <w:sz w:val="20"/>
                <w:szCs w:val="20"/>
              </w:rPr>
              <w:t>Newspapers</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36381E" w14:textId="77777777" w:rsidR="003A4567" w:rsidRDefault="003A4567" w:rsidP="001C69CA">
            <w:pPr>
              <w:jc w:val="center"/>
              <w:rPr>
                <w:rFonts w:ascii="Times New Roman" w:eastAsia="Times New Roman" w:hAnsi="Times New Roman" w:cs="Times New Roman"/>
                <w:b/>
                <w:color w:val="000000" w:themeColor="text1"/>
                <w:sz w:val="20"/>
                <w:szCs w:val="20"/>
              </w:rPr>
            </w:pPr>
            <w:r w:rsidRPr="69FD18A1">
              <w:rPr>
                <w:rFonts w:ascii="Times New Roman" w:eastAsia="Times New Roman" w:hAnsi="Times New Roman" w:cs="Times New Roman"/>
                <w:b/>
                <w:bCs/>
                <w:color w:val="000000" w:themeColor="text1"/>
                <w:sz w:val="20"/>
                <w:szCs w:val="20"/>
              </w:rPr>
              <w:t>Keywords Used</w:t>
            </w:r>
          </w:p>
        </w:tc>
      </w:tr>
      <w:tr w:rsidR="003A4567" w14:paraId="091E4713" w14:textId="77777777" w:rsidTr="001C69CA">
        <w:trPr>
          <w:trHeight w:val="1725"/>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3F93492" w14:textId="77777777" w:rsidR="003A4567" w:rsidRDefault="003A4567" w:rsidP="001C69CA">
            <w:pPr>
              <w:jc w:val="center"/>
              <w:rPr>
                <w:rFonts w:ascii="Times New Roman" w:eastAsia="Times New Roman" w:hAnsi="Times New Roman" w:cs="Times New Roman"/>
                <w:color w:val="000000" w:themeColor="text1"/>
                <w:sz w:val="20"/>
                <w:szCs w:val="20"/>
              </w:rPr>
            </w:pPr>
            <w:r>
              <w:rPr>
                <w:rStyle w:val="FootnoteReference"/>
              </w:rPr>
              <w:footnoteReference w:id="2"/>
            </w:r>
          </w:p>
          <w:p w14:paraId="3A62C65E" w14:textId="77777777" w:rsidR="003A4567" w:rsidRDefault="003A4567" w:rsidP="001C69CA">
            <w:pPr>
              <w:jc w:val="center"/>
              <w:rPr>
                <w:rFonts w:ascii="Times New Roman" w:eastAsia="Times New Roman" w:hAnsi="Times New Roman" w:cs="Times New Roman"/>
                <w:color w:val="000000" w:themeColor="text1"/>
                <w:sz w:val="20"/>
                <w:szCs w:val="20"/>
              </w:rPr>
            </w:pP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A60CB67"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Australia, Brazil, Canada, France, Germany, India, Italy, Mexico, South Korea, Russia, United Kingdom, United States</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E6824A7"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USA Today, Miami Herald, Chicago Tribune, Washington Post, Los Angeles Times, Boston Globe, San Francisco Chronicle, Dallas Morning News, New York Times, and Wall Street Journal</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530CC9"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Trio of terms: ‘‘economic’’ or ‘‘economy’’; ‘‘uncertain’’ or ‘‘uncertainty’’; and one or more of ‘‘Congress,’’ ‘‘deficit,’’ ‘‘Federal Reserve,’’ ‘‘legislation,’’ ‘‘regulation,’’ or ‘‘White House.’’</w:t>
            </w:r>
          </w:p>
        </w:tc>
      </w:tr>
      <w:tr w:rsidR="003A4567" w14:paraId="14C9FDE5" w14:textId="77777777" w:rsidTr="001C69CA">
        <w:trPr>
          <w:trHeight w:val="129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996563" w14:textId="77777777" w:rsidR="003A4567" w:rsidRDefault="003A4567" w:rsidP="001C69CA">
            <w:pPr>
              <w:jc w:val="center"/>
              <w:rPr>
                <w:rFonts w:ascii="Times New Roman" w:eastAsia="Times New Roman" w:hAnsi="Times New Roman" w:cs="Times New Roman"/>
                <w:color w:val="000000" w:themeColor="text1"/>
                <w:sz w:val="20"/>
                <w:szCs w:val="20"/>
              </w:rPr>
            </w:pPr>
            <w:r>
              <w:rPr>
                <w:rStyle w:val="FootnoteReference"/>
              </w:rPr>
              <w:footnoteReference w:id="3"/>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D37DBA"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India</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8B1E97"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The Economic Times, Times of India, Hindustan Times, Hindu, The Statesman, Indian Express, and Financial Express</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214E6A"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uncertain', 'uncertainty', 'worry', or</w:t>
            </w:r>
            <w:r>
              <w:br/>
            </w:r>
            <w:r w:rsidRPr="0D049086">
              <w:rPr>
                <w:rFonts w:ascii="Times New Roman" w:eastAsia="Times New Roman" w:hAnsi="Times New Roman" w:cs="Times New Roman"/>
                <w:color w:val="000000" w:themeColor="text1"/>
                <w:sz w:val="20"/>
                <w:szCs w:val="20"/>
              </w:rPr>
              <w:t>fear'</w:t>
            </w:r>
            <w:r w:rsidRPr="09D286F4">
              <w:rPr>
                <w:rFonts w:ascii="Times New Roman" w:eastAsia="Times New Roman" w:hAnsi="Times New Roman" w:cs="Times New Roman"/>
                <w:color w:val="000000" w:themeColor="text1"/>
                <w:sz w:val="20"/>
                <w:szCs w:val="20"/>
              </w:rPr>
              <w:t>, 'economic' or 'economy', "regulation," "central bank," "monetary policy," "policymakers," "deficit," "legislation," and "fiscal policy.</w:t>
            </w:r>
          </w:p>
        </w:tc>
      </w:tr>
      <w:tr w:rsidR="003A4567" w14:paraId="5E58F3F0" w14:textId="77777777" w:rsidTr="001C69CA">
        <w:trPr>
          <w:trHeight w:val="915"/>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1DF550" w14:textId="77777777" w:rsidR="003A4567" w:rsidRDefault="003A4567" w:rsidP="001C69CA">
            <w:pPr>
              <w:jc w:val="center"/>
              <w:rPr>
                <w:rFonts w:ascii="Times New Roman" w:eastAsia="Times New Roman" w:hAnsi="Times New Roman" w:cs="Times New Roman"/>
                <w:color w:val="000000" w:themeColor="text1"/>
                <w:sz w:val="20"/>
                <w:szCs w:val="20"/>
              </w:rPr>
            </w:pPr>
            <w:r>
              <w:rPr>
                <w:rStyle w:val="FootnoteReference"/>
              </w:rPr>
              <w:footnoteReference w:id="4"/>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58BD9A"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China</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36E97FB"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 xml:space="preserve">South China Morning Post. Also, newspapers of mainland China for robustness check Renmin Daily and the </w:t>
            </w:r>
            <w:proofErr w:type="spellStart"/>
            <w:r w:rsidRPr="09D286F4">
              <w:rPr>
                <w:rFonts w:ascii="Times New Roman" w:eastAsia="Times New Roman" w:hAnsi="Times New Roman" w:cs="Times New Roman"/>
                <w:color w:val="000000" w:themeColor="text1"/>
                <w:sz w:val="20"/>
                <w:szCs w:val="20"/>
              </w:rPr>
              <w:t>Guangming</w:t>
            </w:r>
            <w:proofErr w:type="spellEnd"/>
            <w:r w:rsidRPr="09D286F4">
              <w:rPr>
                <w:rFonts w:ascii="Times New Roman" w:eastAsia="Times New Roman" w:hAnsi="Times New Roman" w:cs="Times New Roman"/>
                <w:color w:val="000000" w:themeColor="text1"/>
                <w:sz w:val="20"/>
                <w:szCs w:val="20"/>
              </w:rPr>
              <w:t xml:space="preserve"> Daily.</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C96CA0"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Policy Uncertainty</w:t>
            </w:r>
          </w:p>
        </w:tc>
      </w:tr>
      <w:tr w:rsidR="003A4567" w14:paraId="0E808D9A" w14:textId="77777777" w:rsidTr="001C69CA">
        <w:trPr>
          <w:trHeight w:val="33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59338C6" w14:textId="77777777" w:rsidR="003A4567" w:rsidRDefault="003A4567" w:rsidP="001C69CA">
            <w:pPr>
              <w:jc w:val="center"/>
              <w:rPr>
                <w:rFonts w:ascii="Times New Roman" w:eastAsia="Times New Roman" w:hAnsi="Times New Roman" w:cs="Times New Roman"/>
                <w:color w:val="000000" w:themeColor="text1"/>
                <w:sz w:val="20"/>
                <w:szCs w:val="20"/>
              </w:rPr>
            </w:pPr>
            <w:r>
              <w:rPr>
                <w:rStyle w:val="FootnoteReference"/>
              </w:rPr>
              <w:footnoteReference w:id="5"/>
            </w:r>
          </w:p>
          <w:p w14:paraId="4BF5BDB3" w14:textId="77777777" w:rsidR="003A4567" w:rsidRDefault="003A4567" w:rsidP="001C69CA">
            <w:pPr>
              <w:jc w:val="center"/>
              <w:rPr>
                <w:rFonts w:ascii="Times New Roman" w:eastAsia="Times New Roman" w:hAnsi="Times New Roman" w:cs="Times New Roman"/>
                <w:color w:val="000000" w:themeColor="text1"/>
                <w:sz w:val="20"/>
                <w:szCs w:val="20"/>
              </w:rPr>
            </w:pP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D7B5797"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Mainland China</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FDC1458"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 xml:space="preserve">Renmin Daily and the </w:t>
            </w:r>
            <w:proofErr w:type="spellStart"/>
            <w:r w:rsidRPr="09D286F4">
              <w:rPr>
                <w:rFonts w:ascii="Times New Roman" w:eastAsia="Times New Roman" w:hAnsi="Times New Roman" w:cs="Times New Roman"/>
                <w:color w:val="000000" w:themeColor="text1"/>
                <w:sz w:val="20"/>
                <w:szCs w:val="20"/>
              </w:rPr>
              <w:t>Guangming</w:t>
            </w:r>
            <w:proofErr w:type="spellEnd"/>
            <w:r w:rsidRPr="09D286F4">
              <w:rPr>
                <w:rFonts w:ascii="Times New Roman" w:eastAsia="Times New Roman" w:hAnsi="Times New Roman" w:cs="Times New Roman"/>
                <w:color w:val="000000" w:themeColor="text1"/>
                <w:sz w:val="20"/>
                <w:szCs w:val="20"/>
              </w:rPr>
              <w:t xml:space="preserve"> Daily</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0561A9"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Economic, policy and uncertainty</w:t>
            </w:r>
          </w:p>
        </w:tc>
      </w:tr>
      <w:tr w:rsidR="003A4567" w14:paraId="73DC2448" w14:textId="77777777" w:rsidTr="001C69CA">
        <w:trPr>
          <w:trHeight w:val="129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4C5146D" w14:textId="77777777" w:rsidR="003A4567" w:rsidRDefault="003A4567" w:rsidP="001C69CA">
            <w:pPr>
              <w:jc w:val="center"/>
              <w:rPr>
                <w:rFonts w:ascii="Times New Roman" w:eastAsia="Times New Roman" w:hAnsi="Times New Roman" w:cs="Times New Roman"/>
                <w:color w:val="000000" w:themeColor="text1"/>
                <w:sz w:val="20"/>
                <w:szCs w:val="20"/>
              </w:rPr>
            </w:pPr>
            <w:r>
              <w:rPr>
                <w:rStyle w:val="FootnoteReference"/>
              </w:rPr>
              <w:lastRenderedPageBreak/>
              <w:footnoteReference w:id="6"/>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AD7E60"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Japan</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5D60E8D"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 xml:space="preserve">Four major Japanese newspapers (Yomiuri, Asahi, </w:t>
            </w:r>
            <w:proofErr w:type="gramStart"/>
            <w:r w:rsidRPr="09D286F4">
              <w:rPr>
                <w:rFonts w:ascii="Times New Roman" w:eastAsia="Times New Roman" w:hAnsi="Times New Roman" w:cs="Times New Roman"/>
                <w:color w:val="000000" w:themeColor="text1"/>
                <w:sz w:val="20"/>
                <w:szCs w:val="20"/>
              </w:rPr>
              <w:t>Mainichi</w:t>
            </w:r>
            <w:proofErr w:type="gramEnd"/>
            <w:r w:rsidRPr="09D286F4">
              <w:rPr>
                <w:rFonts w:ascii="Times New Roman" w:eastAsia="Times New Roman" w:hAnsi="Times New Roman" w:cs="Times New Roman"/>
                <w:color w:val="000000" w:themeColor="text1"/>
                <w:sz w:val="20"/>
                <w:szCs w:val="20"/>
              </w:rPr>
              <w:t xml:space="preserve"> and Nikkei)</w:t>
            </w:r>
            <w:r>
              <w:br/>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FF923B8"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(E) ‘economic’ or ‘economy’; (P)</w:t>
            </w:r>
            <w:r>
              <w:br/>
            </w:r>
            <w:r w:rsidRPr="09D286F4">
              <w:rPr>
                <w:rFonts w:ascii="Times New Roman" w:eastAsia="Times New Roman" w:hAnsi="Times New Roman" w:cs="Times New Roman"/>
                <w:color w:val="000000" w:themeColor="text1"/>
                <w:sz w:val="20"/>
                <w:szCs w:val="20"/>
              </w:rPr>
              <w:t xml:space="preserve"> ‘tax,’ ‘government spending’, ‘regulation,’ ‘central bank’ or certain other policy-related terms;</w:t>
            </w:r>
            <w:r>
              <w:br/>
            </w:r>
            <w:r w:rsidRPr="09D286F4">
              <w:rPr>
                <w:rFonts w:ascii="Times New Roman" w:eastAsia="Times New Roman" w:hAnsi="Times New Roman" w:cs="Times New Roman"/>
                <w:color w:val="000000" w:themeColor="text1"/>
                <w:sz w:val="20"/>
                <w:szCs w:val="20"/>
              </w:rPr>
              <w:t xml:space="preserve"> and (U) ‘uncertain’ or ‘uncertainty</w:t>
            </w:r>
          </w:p>
        </w:tc>
      </w:tr>
    </w:tbl>
    <w:p w14:paraId="20D5795A" w14:textId="77777777" w:rsidR="00060CD5" w:rsidRDefault="00060CD5" w:rsidP="00060CD5">
      <w:pPr>
        <w:rPr>
          <w:rFonts w:ascii="Times New Roman" w:hAnsi="Times New Roman" w:cs="Times New Roman"/>
        </w:rPr>
      </w:pPr>
    </w:p>
    <w:p w14:paraId="389D3A27" w14:textId="77777777" w:rsidR="00060CD5" w:rsidRDefault="00060CD5" w:rsidP="00060CD5">
      <w:pPr>
        <w:pStyle w:val="Heading2"/>
        <w:rPr>
          <w:lang w:val="en-IN"/>
        </w:rPr>
      </w:pPr>
      <w:r>
        <w:rPr>
          <w:lang w:val="en-IN"/>
        </w:rPr>
        <w:t>Appendix A3: Impulse Response diagrams for VAR(2) model</w:t>
      </w:r>
    </w:p>
    <w:p w14:paraId="02CCC1F3" w14:textId="77777777" w:rsidR="00060CD5" w:rsidRDefault="00060CD5" w:rsidP="00060CD5">
      <w:pPr>
        <w:rPr>
          <w:rFonts w:ascii="Times New Roman" w:hAnsi="Times New Roman" w:cs="Times New Roman"/>
          <w:b/>
          <w:bCs/>
          <w:color w:val="000000" w:themeColor="text1"/>
          <w:lang w:val="en-IN"/>
        </w:rPr>
      </w:pPr>
    </w:p>
    <w:p w14:paraId="043945EC" w14:textId="77777777" w:rsidR="00060CD5" w:rsidRDefault="00060CD5" w:rsidP="00060CD5">
      <w:pPr>
        <w:pStyle w:val="Caption"/>
        <w:keepNext/>
      </w:pPr>
      <w:bookmarkStart w:id="2" w:name="_Ref131497658"/>
      <w:r>
        <w:t xml:space="preserve">Table </w:t>
      </w:r>
      <w:r>
        <w:fldChar w:fldCharType="begin"/>
      </w:r>
      <w:r>
        <w:instrText xml:space="preserve"> SEQ Table \* ARABIC </w:instrText>
      </w:r>
      <w:r>
        <w:fldChar w:fldCharType="separate"/>
      </w:r>
      <w:r>
        <w:rPr>
          <w:noProof/>
        </w:rPr>
        <w:t>3</w:t>
      </w:r>
      <w:r>
        <w:fldChar w:fldCharType="end"/>
      </w:r>
      <w:bookmarkEnd w:id="2"/>
      <w:r>
        <w:t>: Impulse Response of Imports and Exports on EPU</w:t>
      </w:r>
    </w:p>
    <w:tbl>
      <w:tblPr>
        <w:tblStyle w:val="GridTable2-Accent3"/>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8"/>
        <w:gridCol w:w="4003"/>
        <w:gridCol w:w="4212"/>
      </w:tblGrid>
      <w:tr w:rsidR="00060CD5" w:rsidRPr="004125B3" w14:paraId="7696D26C" w14:textId="77777777" w:rsidTr="00C0549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88" w:type="dxa"/>
            <w:tcBorders>
              <w:top w:val="none" w:sz="0" w:space="0" w:color="auto"/>
              <w:bottom w:val="none" w:sz="0" w:space="0" w:color="auto"/>
              <w:right w:val="none" w:sz="0" w:space="0" w:color="auto"/>
            </w:tcBorders>
            <w:vAlign w:val="center"/>
          </w:tcPr>
          <w:p w14:paraId="243C1C85"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Countries</w:t>
            </w:r>
          </w:p>
        </w:tc>
        <w:tc>
          <w:tcPr>
            <w:tcW w:w="4003" w:type="dxa"/>
            <w:tcBorders>
              <w:top w:val="none" w:sz="0" w:space="0" w:color="auto"/>
              <w:left w:val="none" w:sz="0" w:space="0" w:color="auto"/>
              <w:bottom w:val="none" w:sz="0" w:space="0" w:color="auto"/>
              <w:right w:val="none" w:sz="0" w:space="0" w:color="auto"/>
            </w:tcBorders>
            <w:vAlign w:val="center"/>
          </w:tcPr>
          <w:p w14:paraId="311EE41D" w14:textId="77777777" w:rsidR="00060CD5" w:rsidRPr="004125B3" w:rsidRDefault="00060CD5" w:rsidP="00C05490">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eastAsiaTheme="majorEastAsia"/>
                <w:sz w:val="20"/>
                <w:szCs w:val="20"/>
              </w:rPr>
            </w:pPr>
            <w:r w:rsidRPr="004125B3">
              <w:rPr>
                <w:rStyle w:val="normaltextrun"/>
                <w:rFonts w:eastAsiaTheme="majorEastAsia"/>
                <w:sz w:val="20"/>
                <w:szCs w:val="20"/>
              </w:rPr>
              <w:t>Import</w:t>
            </w:r>
          </w:p>
        </w:tc>
        <w:tc>
          <w:tcPr>
            <w:tcW w:w="4212" w:type="dxa"/>
            <w:tcBorders>
              <w:top w:val="none" w:sz="0" w:space="0" w:color="auto"/>
              <w:left w:val="none" w:sz="0" w:space="0" w:color="auto"/>
              <w:bottom w:val="none" w:sz="0" w:space="0" w:color="auto"/>
            </w:tcBorders>
            <w:vAlign w:val="center"/>
          </w:tcPr>
          <w:p w14:paraId="0921F3E8" w14:textId="77777777" w:rsidR="00060CD5" w:rsidRPr="004125B3" w:rsidRDefault="00060CD5" w:rsidP="00C05490">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eastAsiaTheme="majorEastAsia"/>
                <w:sz w:val="20"/>
                <w:szCs w:val="20"/>
              </w:rPr>
            </w:pPr>
            <w:r w:rsidRPr="004125B3">
              <w:rPr>
                <w:rStyle w:val="normaltextrun"/>
                <w:rFonts w:eastAsiaTheme="majorEastAsia"/>
                <w:sz w:val="20"/>
                <w:szCs w:val="20"/>
              </w:rPr>
              <w:t>Export</w:t>
            </w:r>
          </w:p>
        </w:tc>
      </w:tr>
      <w:tr w:rsidR="00060CD5" w:rsidRPr="004125B3" w14:paraId="72BC8E46" w14:textId="77777777" w:rsidTr="00C05490">
        <w:trPr>
          <w:cnfStyle w:val="000000100000" w:firstRow="0" w:lastRow="0" w:firstColumn="0" w:lastColumn="0" w:oddVBand="0" w:evenVBand="0" w:oddHBand="1" w:evenHBand="0" w:firstRowFirstColumn="0" w:firstRowLastColumn="0" w:lastRowFirstColumn="0" w:lastRowLastColumn="0"/>
          <w:trHeight w:val="267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13137834"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Australia</w:t>
            </w:r>
          </w:p>
        </w:tc>
        <w:tc>
          <w:tcPr>
            <w:tcW w:w="4003" w:type="dxa"/>
          </w:tcPr>
          <w:p w14:paraId="6CF7219A"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63AD8942" wp14:editId="137786F1">
                  <wp:extent cx="1800000"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5FD1126B"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6B80767B" wp14:editId="3A4E4FF5">
                  <wp:extent cx="1800000"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13AC0261" w14:textId="77777777" w:rsidTr="00C05490">
        <w:trPr>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46AB19DA"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Brazil</w:t>
            </w:r>
          </w:p>
        </w:tc>
        <w:tc>
          <w:tcPr>
            <w:tcW w:w="4003" w:type="dxa"/>
          </w:tcPr>
          <w:p w14:paraId="2D0B94F1"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695E4CD5" wp14:editId="61B6779F">
                  <wp:extent cx="1800000"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305DA5BD"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3017EC59" wp14:editId="20D2E727">
                  <wp:extent cx="1800000" cy="18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004658C7" w14:textId="77777777" w:rsidTr="00C05490">
        <w:trPr>
          <w:cnfStyle w:val="000000100000" w:firstRow="0" w:lastRow="0" w:firstColumn="0" w:lastColumn="0" w:oddVBand="0" w:evenVBand="0" w:oddHBand="1" w:evenHBand="0" w:firstRowFirstColumn="0" w:firstRowLastColumn="0" w:lastRowFirstColumn="0" w:lastRowLastColumn="0"/>
          <w:trHeight w:val="267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48E3F7FD"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Canada</w:t>
            </w:r>
          </w:p>
        </w:tc>
        <w:tc>
          <w:tcPr>
            <w:tcW w:w="4003" w:type="dxa"/>
          </w:tcPr>
          <w:p w14:paraId="6CAD79F4"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55FA8E52" wp14:editId="0832C0C0">
                  <wp:extent cx="1800000"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562C65B3"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1E193AE0" wp14:editId="48F474E6">
                  <wp:extent cx="1800000" cy="1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63B9F504" w14:textId="77777777" w:rsidTr="00C05490">
        <w:trPr>
          <w:trHeight w:val="2698"/>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25C8681E"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lastRenderedPageBreak/>
              <w:t>China</w:t>
            </w:r>
          </w:p>
        </w:tc>
        <w:tc>
          <w:tcPr>
            <w:tcW w:w="4003" w:type="dxa"/>
          </w:tcPr>
          <w:p w14:paraId="144F059E"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65356701" wp14:editId="4CBD8E32">
                  <wp:extent cx="1800000"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36974189"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1F04DF2B" wp14:editId="18F247A5">
                  <wp:extent cx="1800000" cy="18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51B520B2" w14:textId="77777777" w:rsidTr="00C05490">
        <w:trPr>
          <w:cnfStyle w:val="000000100000" w:firstRow="0" w:lastRow="0" w:firstColumn="0" w:lastColumn="0" w:oddVBand="0" w:evenVBand="0" w:oddHBand="1" w:evenHBand="0" w:firstRowFirstColumn="0" w:firstRowLastColumn="0" w:lastRowFirstColumn="0" w:lastRowLastColumn="0"/>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6FF988E5"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France</w:t>
            </w:r>
          </w:p>
        </w:tc>
        <w:tc>
          <w:tcPr>
            <w:tcW w:w="4003" w:type="dxa"/>
          </w:tcPr>
          <w:p w14:paraId="5305AF5A"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21B3424F" wp14:editId="7503A178">
                  <wp:extent cx="1800000" cy="18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1C24FAC5"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27567174" wp14:editId="3A4B4888">
                  <wp:extent cx="1800000" cy="18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1706E152" w14:textId="77777777" w:rsidTr="00C05490">
        <w:trPr>
          <w:trHeight w:val="267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2CB4314B"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India</w:t>
            </w:r>
          </w:p>
        </w:tc>
        <w:tc>
          <w:tcPr>
            <w:tcW w:w="4003" w:type="dxa"/>
          </w:tcPr>
          <w:p w14:paraId="17D3E1EA"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752A57A1" wp14:editId="7470AD9A">
                  <wp:extent cx="1800000"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368E956A"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21C0DF5D" wp14:editId="7F45B458">
                  <wp:extent cx="1800000"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3EF029A8" w14:textId="77777777" w:rsidTr="00C05490">
        <w:trPr>
          <w:cnfStyle w:val="000000100000" w:firstRow="0" w:lastRow="0" w:firstColumn="0" w:lastColumn="0" w:oddVBand="0" w:evenVBand="0" w:oddHBand="1" w:evenHBand="0" w:firstRowFirstColumn="0" w:firstRowLastColumn="0" w:lastRowFirstColumn="0" w:lastRowLastColumn="0"/>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7DFECA25"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Italy</w:t>
            </w:r>
          </w:p>
        </w:tc>
        <w:tc>
          <w:tcPr>
            <w:tcW w:w="4003" w:type="dxa"/>
          </w:tcPr>
          <w:p w14:paraId="329DF8F6"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302491B3" wp14:editId="05F65214">
                  <wp:extent cx="1800000"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7164B13B"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55B778C5" wp14:editId="7AA0FD8C">
                  <wp:extent cx="1800000" cy="18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11B0CAFA" w14:textId="77777777" w:rsidTr="00C05490">
        <w:trPr>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1E7AEA60"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lastRenderedPageBreak/>
              <w:t>Japan</w:t>
            </w:r>
          </w:p>
        </w:tc>
        <w:tc>
          <w:tcPr>
            <w:tcW w:w="4003" w:type="dxa"/>
          </w:tcPr>
          <w:p w14:paraId="6C7E1E45"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0D2BD7DA" wp14:editId="66048090">
                  <wp:extent cx="1800000" cy="18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3D5C1C27"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55C50142" wp14:editId="01CE1EDE">
                  <wp:extent cx="1800000" cy="18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18B6AC9C" w14:textId="77777777" w:rsidTr="00C05490">
        <w:trPr>
          <w:cnfStyle w:val="000000100000" w:firstRow="0" w:lastRow="0" w:firstColumn="0" w:lastColumn="0" w:oddVBand="0" w:evenVBand="0" w:oddHBand="1" w:evenHBand="0" w:firstRowFirstColumn="0" w:firstRowLastColumn="0" w:lastRowFirstColumn="0" w:lastRowLastColumn="0"/>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4667A53F"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Mexico</w:t>
            </w:r>
          </w:p>
        </w:tc>
        <w:tc>
          <w:tcPr>
            <w:tcW w:w="4003" w:type="dxa"/>
          </w:tcPr>
          <w:p w14:paraId="113B4638"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5B82CE9D" wp14:editId="443D3E12">
                  <wp:extent cx="1800000" cy="18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2A018E23"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7C830BA2" wp14:editId="4A62308D">
                  <wp:extent cx="1800000" cy="18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0A1E1330" w14:textId="77777777" w:rsidTr="00C05490">
        <w:trPr>
          <w:trHeight w:val="267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3308929F"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Russia</w:t>
            </w:r>
          </w:p>
        </w:tc>
        <w:tc>
          <w:tcPr>
            <w:tcW w:w="4003" w:type="dxa"/>
          </w:tcPr>
          <w:p w14:paraId="6AEDAF35"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33ED5DE0" wp14:editId="34372D3F">
                  <wp:extent cx="1800000" cy="18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3B676F1A"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43CF9FAE" wp14:editId="0F2DAF3B">
                  <wp:extent cx="1800000" cy="180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1166B3BA" w14:textId="77777777" w:rsidTr="00C05490">
        <w:trPr>
          <w:cnfStyle w:val="000000100000" w:firstRow="0" w:lastRow="0" w:firstColumn="0" w:lastColumn="0" w:oddVBand="0" w:evenVBand="0" w:oddHBand="1" w:evenHBand="0" w:firstRowFirstColumn="0" w:firstRowLastColumn="0" w:lastRowFirstColumn="0" w:lastRowLastColumn="0"/>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3ED2CAA4"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South Korea</w:t>
            </w:r>
          </w:p>
        </w:tc>
        <w:tc>
          <w:tcPr>
            <w:tcW w:w="4003" w:type="dxa"/>
          </w:tcPr>
          <w:p w14:paraId="37B4C3E1"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66A815D1" wp14:editId="5959D348">
                  <wp:extent cx="1800000" cy="180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2CCB6176"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660B619F" wp14:editId="5DAD0340">
                  <wp:extent cx="1800000" cy="18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011DA1EA" w14:textId="77777777" w:rsidTr="00C05490">
        <w:trPr>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2C09A177"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lastRenderedPageBreak/>
              <w:t>United Kingdom</w:t>
            </w:r>
          </w:p>
        </w:tc>
        <w:tc>
          <w:tcPr>
            <w:tcW w:w="4003" w:type="dxa"/>
          </w:tcPr>
          <w:p w14:paraId="0884233B"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51629D11" wp14:editId="4F3087D1">
                  <wp:extent cx="1800000" cy="18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50484F78"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13D73352" wp14:editId="41D894D3">
                  <wp:extent cx="1800000" cy="180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680B3010" w14:textId="77777777" w:rsidTr="00C05490">
        <w:trPr>
          <w:cnfStyle w:val="000000100000" w:firstRow="0" w:lastRow="0" w:firstColumn="0" w:lastColumn="0" w:oddVBand="0" w:evenVBand="0" w:oddHBand="1" w:evenHBand="0" w:firstRowFirstColumn="0" w:firstRowLastColumn="0" w:lastRowFirstColumn="0" w:lastRowLastColumn="0"/>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68D93006"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United States</w:t>
            </w:r>
          </w:p>
        </w:tc>
        <w:tc>
          <w:tcPr>
            <w:tcW w:w="4003" w:type="dxa"/>
          </w:tcPr>
          <w:p w14:paraId="6F1441DA"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2CD239CC" wp14:editId="1800041B">
                  <wp:extent cx="1800000" cy="18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772F2E2B"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53AA2DBD" wp14:editId="42A992C3">
                  <wp:extent cx="1800000" cy="180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1">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103FCD2D" w14:textId="77777777" w:rsidR="00060CD5" w:rsidRDefault="00060CD5" w:rsidP="00060CD5"/>
    <w:p w14:paraId="7AAEF862" w14:textId="77777777" w:rsidR="00060CD5" w:rsidRDefault="00060CD5" w:rsidP="00060CD5"/>
    <w:p w14:paraId="257BBAEB" w14:textId="77777777" w:rsidR="00060CD5" w:rsidRDefault="00060CD5" w:rsidP="00060CD5">
      <w:pPr>
        <w:rPr>
          <w:rFonts w:ascii="Times New Roman" w:hAnsi="Times New Roman" w:cs="Times New Roman"/>
          <w:b/>
          <w:bCs/>
          <w:color w:val="000000" w:themeColor="text1"/>
          <w:lang w:val="en-IN"/>
        </w:rPr>
      </w:pPr>
    </w:p>
    <w:p w14:paraId="16BE91D4" w14:textId="77777777" w:rsidR="00355900" w:rsidRDefault="00355900"/>
    <w:sectPr w:rsidR="00355900">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DD5CC" w14:textId="77777777" w:rsidR="00060CD5" w:rsidRDefault="00060CD5" w:rsidP="00060CD5">
      <w:r>
        <w:separator/>
      </w:r>
    </w:p>
  </w:endnote>
  <w:endnote w:type="continuationSeparator" w:id="0">
    <w:p w14:paraId="58842FE2" w14:textId="77777777" w:rsidR="00060CD5" w:rsidRDefault="00060CD5" w:rsidP="0006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DF08" w14:textId="77777777" w:rsidR="00DD3ED4" w:rsidRDefault="00060CD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5D321F4" w14:textId="77777777" w:rsidR="00DD3ED4" w:rsidRDefault="003A4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2FF7" w14:textId="77777777" w:rsidR="00060CD5" w:rsidRDefault="00060CD5" w:rsidP="00060CD5">
      <w:r>
        <w:separator/>
      </w:r>
    </w:p>
  </w:footnote>
  <w:footnote w:type="continuationSeparator" w:id="0">
    <w:p w14:paraId="61CF5321" w14:textId="77777777" w:rsidR="00060CD5" w:rsidRDefault="00060CD5" w:rsidP="00060CD5">
      <w:r>
        <w:continuationSeparator/>
      </w:r>
    </w:p>
  </w:footnote>
  <w:footnote w:id="1">
    <w:p w14:paraId="48D6F1B2" w14:textId="77777777" w:rsidR="00060CD5" w:rsidRDefault="00060CD5" w:rsidP="00060CD5">
      <w:pPr>
        <w:pStyle w:val="FootnoteText"/>
      </w:pPr>
      <w:r w:rsidRPr="003A4567">
        <w:rPr>
          <w:rStyle w:val="FootnoteReference"/>
        </w:rPr>
        <w:footnoteRef/>
      </w:r>
      <w:r>
        <w:t xml:space="preserve"> </w:t>
      </w:r>
      <w:r w:rsidRPr="00A61FE2">
        <w:rPr>
          <w:rFonts w:ascii="Times New Roman" w:eastAsia="Times New Roman" w:hAnsi="Times New Roman" w:cs="Times New Roman"/>
        </w:rPr>
        <w:t xml:space="preserve">corresponding author, </w:t>
      </w:r>
      <w:hyperlink r:id="rId1" w:history="1">
        <w:r w:rsidRPr="00A61FE2">
          <w:rPr>
            <w:rStyle w:val="Hyperlink"/>
            <w:rFonts w:ascii="Times New Roman" w:eastAsia="Times New Roman" w:hAnsi="Times New Roman" w:cs="Times New Roman"/>
          </w:rPr>
          <w:t>kalyan@iimv.ac.in</w:t>
        </w:r>
      </w:hyperlink>
    </w:p>
  </w:footnote>
  <w:footnote w:id="2">
    <w:p w14:paraId="5F68C136" w14:textId="77777777" w:rsidR="003A4567" w:rsidRPr="00331150" w:rsidRDefault="003A4567" w:rsidP="003A4567">
      <w:pPr>
        <w:pStyle w:val="FootnoteText"/>
        <w:rPr>
          <w:lang w:val="en-US"/>
        </w:rPr>
      </w:pPr>
      <w:r>
        <w:rPr>
          <w:rStyle w:val="FootnoteReference"/>
        </w:rPr>
        <w:footnoteRef/>
      </w:r>
      <w:r>
        <w:t xml:space="preserve"> </w:t>
      </w:r>
      <w:r>
        <w:fldChar w:fldCharType="begin" w:fldLock="1"/>
      </w:r>
      <w:r>
        <w:instrText>ADDIN CSL_CITATION {"citationItems":[{"id":"ITEM-1","itemData":{"DOI":"10.1093/qje/qjw024","abstract":"We develop a new index of economic policy uncertainty (EPU) based on newspaper coverage frequency. Several types of evidence-including human readings of 12,000 newspaper articles-indicate that our index proxies for movements in policy-related economic uncertainty. Our U.S. index spikes near tight presidential elections, Gulf Wars I and II, the 9/11 attacks, the failure of Lehman Brothers, the 2011 debt ceiling dispute, and other major battles over fiscal policy. Using firm-level data, we find that policy uncertainty is associated with greater stock price volatility and reduced investment and employment in policy-sensitive sectors like defense, health care, finance, and infrastructure construction. At the macro level, innovations in policy uncertainty foreshadow declines in investment, output, and employment in the United States and, in a panel vector autoregressive setting, for 12 major economies. Extending our U.S. index back to 1900, EPU rose dramatically in the 1930s (from late 1931) and has drifted upward since the 1960s. JEL Codes: D80, E22, E66, G18, L50. Ã We thank","author":[{"dropping-particle":"","family":"Baker","given":"Scott R.","non-dropping-particle":"","parse-names":false,"suffix":""},{"dropping-particle":"","family":"Bloom","given":"Nicholas","non-dropping-particle":"","parse-names":false,"suffix":""},{"dropping-particle":"","family":"Davis","given":"Steven J.","non-dropping-particle":"","parse-names":false,"suffix":""}],"container-title":"The Quarterly Journal of Economics","id":"ITEM-1","issue":"4","issued":{"date-parts":[["2016"]]},"page":"1593-1636","title":"Measuring Economic Policy Uncertainty","type":"article-journal","volume":"131"},"uris":["http://www.mendeley.com/documents/?uuid=4c30a075-eecc-368d-a15e-f90c4f4b380c"]}],"mendeley":{"formattedCitation":"Baker, Bloom, and Davis, “Measuring Economic Policy Uncertainty.”","manualFormatting":"Baker, Bloom, and Davis (2016)","plainTextFormattedCitation":"Baker, Bloom, and Davis, “Measuring Economic Policy Uncertainty.”","previouslyFormattedCitation":"[1]"},"properties":{"noteIndex":33},"schema":"https://github.com/citation-style-language/schema/raw/master/csl-citation.json"}</w:instrText>
      </w:r>
      <w:r>
        <w:fldChar w:fldCharType="separate"/>
      </w:r>
      <w:r>
        <w:rPr>
          <w:noProof/>
        </w:rPr>
        <w:t>Baker, Bloom, and Davis (2016)</w:t>
      </w:r>
      <w:r>
        <w:fldChar w:fldCharType="end"/>
      </w:r>
    </w:p>
  </w:footnote>
  <w:footnote w:id="3">
    <w:p w14:paraId="50C9138D" w14:textId="77777777" w:rsidR="003A4567" w:rsidRPr="00331150" w:rsidRDefault="003A4567" w:rsidP="003A4567">
      <w:pPr>
        <w:pStyle w:val="FootnoteText"/>
        <w:rPr>
          <w:lang w:val="en-US"/>
        </w:rPr>
      </w:pPr>
      <w:r>
        <w:rPr>
          <w:rStyle w:val="FootnoteReference"/>
        </w:rPr>
        <w:footnoteRef/>
      </w:r>
      <w:r>
        <w:t xml:space="preserve"> </w:t>
      </w:r>
      <w:r>
        <w:fldChar w:fldCharType="begin" w:fldLock="1"/>
      </w:r>
      <w:r>
        <w:instrText>ADDIN CSL_CITATION {"citationItems":[{"id":"ITEM-1","itemData":{"ISSN":"00129976","abstract":"A measure of economic policy uncertainty or EPU for India is constructed to study its impact on the economy. It is found that gross domestic product growth and fixed investment are negatively related to EPU in India. For instance, if the economic uncertainty were to decrease to the level observed in 2005, India's GDP growth would increase by 0.56%, and fixed investment growth would increase by 1.36%. Additionally, a negative correlation between the Bombay Stock Exchange index and EPU in India is observed, suggesting that increases in EPU lower expectations of future growth or increase perceived risk of listed stocks. Lastly, it is found that firm-level capital expenditure rates are lowered when EPU increases.","author":[{"dropping-particle":"","family":"Bhagat","given":"Sanjai","non-dropping-particle":"","parse-names":false,"suffix":""},{"dropping-particle":"","family":"Ghosh","given":"Pulak","non-dropping-particle":"","parse-names":false,"suffix":""},{"dropping-particle":"","family":"Rangan","given":"Srinivasan","non-dropping-particle":"","parse-names":false,"suffix":""}],"container-title":"Economic and Political Weekly","id":"ITEM-1","issue":"35","issued":{"date-parts":[["2016"]]},"page":"72-81","title":"Economic policy uncertainty and growth in India","type":"article-journal","volume":"51"},"uris":["http://www.mendeley.com/documents/?uuid=abab0eba-0a6d-4125-9f3d-770d0d43a99d"]}],"mendeley":{"formattedCitation":"Sanjai Bhagat, Pulak Ghosh, and Srinivasan Rangan, “Economic Policy Uncertainty and Growth in India,” &lt;i&gt;Economic and Political Weekly&lt;/i&gt; 51, no. 35 (2016): 72–81.","manualFormatting":"Bhagat, Ghosh, and Rangan (2016)","plainTextFormattedCitation":"Sanjai Bhagat, Pulak Ghosh, and Srinivasan Rangan, “Economic Policy Uncertainty and Growth in India,” Economic and Political Weekly 51, no. 35 (2016): 72–81.","previouslyFormattedCitation":"[20]"},"properties":{"noteIndex":34},"schema":"https://github.com/citation-style-language/schema/raw/master/csl-citation.json"}</w:instrText>
      </w:r>
      <w:r>
        <w:fldChar w:fldCharType="separate"/>
      </w:r>
      <w:r>
        <w:rPr>
          <w:noProof/>
        </w:rPr>
        <w:t>Bhagat, Ghosh, and Rangan (2016)</w:t>
      </w:r>
      <w:r>
        <w:fldChar w:fldCharType="end"/>
      </w:r>
    </w:p>
  </w:footnote>
  <w:footnote w:id="4">
    <w:p w14:paraId="4CFFE762" w14:textId="77777777" w:rsidR="003A4567" w:rsidRPr="00331150" w:rsidRDefault="003A4567" w:rsidP="003A4567">
      <w:pPr>
        <w:pStyle w:val="FootnoteText"/>
        <w:rPr>
          <w:lang w:val="en-US"/>
        </w:rPr>
      </w:pPr>
      <w:r>
        <w:rPr>
          <w:rStyle w:val="FootnoteReference"/>
        </w:rPr>
        <w:footnoteRef/>
      </w:r>
      <w:r>
        <w:t xml:space="preserve"> </w:t>
      </w:r>
      <w:r>
        <w:fldChar w:fldCharType="begin" w:fldLock="1"/>
      </w:r>
      <w:r>
        <w:instrText>ADDIN CSL_CITATION {"citationItems":[{"id":"ITEM-1","itemData":{"DOI":"10.1016/j.econmod.2020.03.029","ISSN":"02649993","abstract":"This study examines the relationship between economic policy uncertainty and mergers and acquisitions (M&amp;As) in China. Using all listed Chinese companies on the Shanghai and Shenzhen Stock Exchanges as well as 4188 ​M&amp;A deals from the period of 2001–2018, we show that Chinese firms are more likely to make acquisitions during periods of high economic policy uncertainty, which contradicts the behavior of US firms. We further show that state-owned enterprises (SOEs) are less likely than non-SOEs to make acquisitions during periods of high economic policy uncertainty. SOEs are less likely to use only cash for their acquisitions during periods of high economic policy uncertainty. These results indicate the prudence of SOEs regarding acquisitions relative to non-SOEs during periods of high economic policy uncertainty. Moreover, acquisitions during periods of high economic policy uncertainty are associated with an increase in shareholder wealth for acquirers, and this wealth effect is more pronounced for SOEs.","author":[{"dropping-particle":"","family":"Sha","given":"Yezhou","non-dropping-particle":"","parse-names":false,"suffix":""},{"dropping-particle":"","family":"Kang","given":"Chenlei","non-dropping-particle":"","parse-names":false,"suffix":""},{"dropping-particle":"","family":"Wang","given":"Zilong","non-dropping-particle":"","parse-names":false,"suffix":""}],"container-title":"Economic Modelling","id":"ITEM-1","issue":"November 2019","issued":{"date-parts":[["2020"]]},"page":"590-600","publisher":"Elsevier Ltd","title":"Economic policy uncertainty and mergers and acquisitions: Evidence from China","type":"article-journal","volume":"89"},"uris":["http://www.mendeley.com/documents/?uuid=b7f8fcaf-4dc9-4916-a986-d73f810735f3"]}],"mendeley":{"formattedCitation":"Yezhou Sha, Chenlei Kang, and Zilong Wang, “Economic Policy Uncertainty and Mergers and Acquisitions: Evidence from China,” &lt;i&gt;Economic Modelling&lt;/i&gt; 89, no. November 2019 (2020): 590–600, https://doi.org/10.1016/j.econmod.2020.03.029.","manualFormatting":"Sha, Kang, and Wang (2020)","plainTextFormattedCitation":"Yezhou Sha, Chenlei Kang, and Zilong Wang, “Economic Policy Uncertainty and Mergers and Acquisitions: Evidence from China,” Economic Modelling 89, no. November 2019 (2020): 590–600, https://doi.org/10.1016/j.econmod.2020.03.029.","previouslyFormattedCitation":"[21]"},"properties":{"noteIndex":35},"schema":"https://github.com/citation-style-language/schema/raw/master/csl-citation.json"}</w:instrText>
      </w:r>
      <w:r>
        <w:fldChar w:fldCharType="separate"/>
      </w:r>
      <w:r>
        <w:rPr>
          <w:noProof/>
        </w:rPr>
        <w:t>Sha, Kang, and Wang (2020)</w:t>
      </w:r>
      <w:r>
        <w:fldChar w:fldCharType="end"/>
      </w:r>
    </w:p>
  </w:footnote>
  <w:footnote w:id="5">
    <w:p w14:paraId="105C684E" w14:textId="77777777" w:rsidR="003A4567" w:rsidRPr="00331150" w:rsidRDefault="003A4567" w:rsidP="003A4567">
      <w:pPr>
        <w:pStyle w:val="FootnoteText"/>
        <w:rPr>
          <w:lang w:val="en-US"/>
        </w:rPr>
      </w:pPr>
      <w:r>
        <w:rPr>
          <w:rStyle w:val="FootnoteReference"/>
        </w:rPr>
        <w:footnoteRef/>
      </w:r>
      <w:r>
        <w:t xml:space="preserve"> </w:t>
      </w:r>
      <w:r>
        <w:fldChar w:fldCharType="begin" w:fldLock="1"/>
      </w:r>
      <w:r>
        <w:instrText>ADDIN CSL_CITATION {"citationItems":[{"id":"ITEM-1","itemData":{"abstract":"They developed indices of Economic Policy Uncertainty and Trade Policy Uncertainty for China based on mainland newspapers. Their overall EPU Index for China is monthly and available from October 1949 to the present. Their monthly Trade Policy Uncertainty Index for China runs from January 2000 to the present.","author":[{"dropping-particle":"","family":"Davis","given":"Steven J","non-dropping-particle":"","parse-names":false,"suffix":""},{"dropping-particle":"","family":"Liu","given":"Dingqian","non-dropping-particle":"","parse-names":false,"suffix":""},{"dropping-particle":"","family":"Sheng","given":"Xuguang S","non-dropping-particle":"","parse-names":false,"suffix":""}],"id":"ITEM-1","issue":"April","issued":{"date-parts":[["2019"]]},"number-of-pages":"1-35","title":"Economic Policy Uncertainty in China Since 1949 : The View from Mainland Newspapers","type":"report"},"uris":["http://www.mendeley.com/documents/?uuid=f18d42a9-f2fe-4dbd-aefd-fd317ac23bbb"]}],"mendeley":{"formattedCitation":"Steven J Davis, Dingqian Liu, and Xuguang S Sheng, “Economic Policy Uncertainty in China Since 1949 : The View from Mainland Newspapers,” 2019.","manualFormatting":"Davis, Liu, and Sheng (2019)","plainTextFormattedCitation":"Steven J Davis, Dingqian Liu, and Xuguang S Sheng, “Economic Policy Uncertainty in China Since 1949 : The View from Mainland Newspapers,” 2019.","previouslyFormattedCitation":"[22]"},"properties":{"noteIndex":36},"schema":"https://github.com/citation-style-language/schema/raw/master/csl-citation.json"}</w:instrText>
      </w:r>
      <w:r>
        <w:fldChar w:fldCharType="separate"/>
      </w:r>
      <w:r>
        <w:rPr>
          <w:noProof/>
        </w:rPr>
        <w:t>Davis, Liu, and Sheng (2019)</w:t>
      </w:r>
      <w:r>
        <w:fldChar w:fldCharType="end"/>
      </w:r>
    </w:p>
  </w:footnote>
  <w:footnote w:id="6">
    <w:p w14:paraId="441A39AC" w14:textId="77777777" w:rsidR="003A4567" w:rsidRPr="00331150" w:rsidRDefault="003A4567" w:rsidP="003A4567">
      <w:pPr>
        <w:pStyle w:val="FootnoteText"/>
        <w:rPr>
          <w:lang w:val="en-US"/>
        </w:rPr>
      </w:pPr>
      <w:r>
        <w:rPr>
          <w:rStyle w:val="FootnoteReference"/>
        </w:rPr>
        <w:footnoteRef/>
      </w:r>
      <w:r>
        <w:t xml:space="preserve"> </w:t>
      </w:r>
      <w:r>
        <w:fldChar w:fldCharType="begin" w:fldLock="1"/>
      </w:r>
      <w:r>
        <w:instrText>ADDIN CSL_CITATION {"citationItems":[{"id":"ITEM-1","itemData":{"DOI":"10.1016/J.JJIE.2022.101192","ISSN":"08891583","abstract":"We develop new economic policy uncertainty (EPU) indices for Japan from January 1987 onwards, building on Baker et al. (2016). Each index reflects the frequency of newspaper articles that contain certain terms pertaining to the economy, policy matters, and uncertainty. Our overall EPU index co-varies positively with implied volatilities for Japanese equities, exchange rates, and interest rates and with a survey-based measure of political uncertainty. It rises around contested national elections and major leadership transitions in Japan, during the Asian financial crisis and in reaction to the Lehman Brothers failure, U.S. debt downgrade in 2011, Brexit referendum, the deferral of a consumption tax hike, and the onset of the COVID-19 pandemic. Our uncertainty indices for fiscal, monetary, trade, and exchange rate policy co-vary positively but also display distinct dynamics. For example, our trade policy uncertainty (TPU) index rocketed upwards when the U.S. withdrew from the Trans-Pacific Partnership. VAR models imply that upward EPU innovations foreshadow deteriorations in Japan's macroeconomic performance, as reflected by impulse response functions for investment, employment, and output. Our study adds to evidence that credible policy plans and strong policy frameworks can favorably influence macroeconomic performance by reducing policy uncertainty.","author":[{"dropping-particle":"","family":"Saxegaard","given":"Elif C. Arbatli","non-dropping-particle":"","parse-names":false,"suffix":""},{"dropping-particle":"","family":"Davis","given":"Steven J.","non-dropping-particle":"","parse-names":false,"suffix":""},{"dropping-particle":"","family":"Ito","given":"Arata","non-dropping-particle":"","parse-names":false,"suffix":""},{"dropping-particle":"","family":"Miake","given":"Naoko","non-dropping-particle":"","parse-names":false,"suffix":""}],"container-title":"Journal of the Japanese and International Economies","id":"ITEM-1","issued":{"date-parts":[["2022","6","1"]]},"publisher":"Academic Press Inc.","title":"Policy uncertainty in Japan","type":"article-journal","volume":"64"},"uris":["http://www.mendeley.com/documents/?uuid=d49f7a64-91c0-3b06-8990-1ca48012aed6"]}],"mendeley":{"formattedCitation":"Saxegaard et al., “Policy Uncertainty in Japan.”","manualFormatting":"Saxegaard et al. (2022)","plainTextFormattedCitation":"Saxegaard et al., “Policy Uncertainty in Japan.”","previouslyFormattedCitation":"[5]"},"properties":{"noteIndex":37},"schema":"https://github.com/citation-style-language/schema/raw/master/csl-citation.json"}</w:instrText>
      </w:r>
      <w:r>
        <w:fldChar w:fldCharType="separate"/>
      </w:r>
      <w:r>
        <w:rPr>
          <w:noProof/>
        </w:rPr>
        <w:t>Saxegaard et al. (2022)</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23A8C4B" w14:paraId="46AB7440" w14:textId="77777777" w:rsidTr="423A8C4B">
      <w:trPr>
        <w:trHeight w:val="300"/>
      </w:trPr>
      <w:tc>
        <w:tcPr>
          <w:tcW w:w="3005" w:type="dxa"/>
        </w:tcPr>
        <w:p w14:paraId="7E701A47" w14:textId="77777777" w:rsidR="423A8C4B" w:rsidRDefault="003A4567" w:rsidP="423A8C4B">
          <w:pPr>
            <w:pStyle w:val="Header"/>
            <w:ind w:left="-115"/>
            <w:jc w:val="left"/>
          </w:pPr>
        </w:p>
      </w:tc>
      <w:tc>
        <w:tcPr>
          <w:tcW w:w="3005" w:type="dxa"/>
        </w:tcPr>
        <w:p w14:paraId="2DAD1506" w14:textId="77777777" w:rsidR="423A8C4B" w:rsidRDefault="003A4567" w:rsidP="423A8C4B">
          <w:pPr>
            <w:pStyle w:val="Header"/>
            <w:jc w:val="center"/>
          </w:pPr>
        </w:p>
      </w:tc>
      <w:tc>
        <w:tcPr>
          <w:tcW w:w="3005" w:type="dxa"/>
        </w:tcPr>
        <w:p w14:paraId="640C4B23" w14:textId="77777777" w:rsidR="423A8C4B" w:rsidRDefault="003A4567" w:rsidP="423A8C4B">
          <w:pPr>
            <w:pStyle w:val="Header"/>
            <w:ind w:right="-115"/>
            <w:jc w:val="right"/>
          </w:pPr>
        </w:p>
      </w:tc>
    </w:tr>
  </w:tbl>
  <w:p w14:paraId="3A97A2BA" w14:textId="77777777" w:rsidR="00DB22D6" w:rsidRDefault="003A45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D5"/>
    <w:rsid w:val="00060CD5"/>
    <w:rsid w:val="000B2677"/>
    <w:rsid w:val="000D2600"/>
    <w:rsid w:val="001C4B5B"/>
    <w:rsid w:val="00240244"/>
    <w:rsid w:val="00355900"/>
    <w:rsid w:val="003A4567"/>
    <w:rsid w:val="003B6275"/>
    <w:rsid w:val="00424523"/>
    <w:rsid w:val="005852FF"/>
    <w:rsid w:val="0068055A"/>
    <w:rsid w:val="007765C4"/>
    <w:rsid w:val="00930DE8"/>
    <w:rsid w:val="00B36BA6"/>
    <w:rsid w:val="00C41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06714D"/>
  <w15:chartTrackingRefBased/>
  <w15:docId w15:val="{9B844E2E-9EA7-6340-BCBB-F01D30A7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CD5"/>
    <w:pPr>
      <w:jc w:val="both"/>
    </w:pPr>
    <w:rPr>
      <w:kern w:val="0"/>
      <w:lang w:val="en-GB"/>
      <w14:ligatures w14:val="none"/>
    </w:rPr>
  </w:style>
  <w:style w:type="paragraph" w:styleId="Heading1">
    <w:name w:val="heading 1"/>
    <w:basedOn w:val="Normal"/>
    <w:next w:val="Normal"/>
    <w:link w:val="Heading1Char"/>
    <w:uiPriority w:val="9"/>
    <w:qFormat/>
    <w:rsid w:val="003A45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C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CD5"/>
    <w:rPr>
      <w:rFonts w:asciiTheme="majorHAnsi" w:eastAsiaTheme="majorEastAsia" w:hAnsiTheme="majorHAnsi" w:cstheme="majorBidi"/>
      <w:color w:val="2F5496" w:themeColor="accent1" w:themeShade="BF"/>
      <w:kern w:val="0"/>
      <w:sz w:val="26"/>
      <w:szCs w:val="26"/>
      <w:lang w:val="en-GB"/>
      <w14:ligatures w14:val="none"/>
    </w:rPr>
  </w:style>
  <w:style w:type="paragraph" w:styleId="Caption">
    <w:name w:val="caption"/>
    <w:basedOn w:val="Normal"/>
    <w:next w:val="Normal"/>
    <w:uiPriority w:val="35"/>
    <w:unhideWhenUsed/>
    <w:qFormat/>
    <w:rsid w:val="00060CD5"/>
    <w:pPr>
      <w:spacing w:after="200"/>
    </w:pPr>
    <w:rPr>
      <w:i/>
      <w:iCs/>
      <w:color w:val="44546A" w:themeColor="text2"/>
      <w:sz w:val="18"/>
      <w:szCs w:val="18"/>
    </w:rPr>
  </w:style>
  <w:style w:type="paragraph" w:styleId="Header">
    <w:name w:val="header"/>
    <w:basedOn w:val="Normal"/>
    <w:link w:val="HeaderChar"/>
    <w:uiPriority w:val="99"/>
    <w:unhideWhenUsed/>
    <w:rsid w:val="00060CD5"/>
    <w:pPr>
      <w:tabs>
        <w:tab w:val="center" w:pos="4513"/>
        <w:tab w:val="right" w:pos="9026"/>
      </w:tabs>
    </w:pPr>
  </w:style>
  <w:style w:type="character" w:customStyle="1" w:styleId="HeaderChar">
    <w:name w:val="Header Char"/>
    <w:basedOn w:val="DefaultParagraphFont"/>
    <w:link w:val="Header"/>
    <w:uiPriority w:val="99"/>
    <w:rsid w:val="00060CD5"/>
    <w:rPr>
      <w:kern w:val="0"/>
      <w:lang w:val="en-GB"/>
      <w14:ligatures w14:val="none"/>
    </w:rPr>
  </w:style>
  <w:style w:type="paragraph" w:styleId="Footer">
    <w:name w:val="footer"/>
    <w:basedOn w:val="Normal"/>
    <w:link w:val="FooterChar"/>
    <w:uiPriority w:val="99"/>
    <w:unhideWhenUsed/>
    <w:rsid w:val="00060CD5"/>
    <w:pPr>
      <w:tabs>
        <w:tab w:val="center" w:pos="4513"/>
        <w:tab w:val="right" w:pos="9026"/>
      </w:tabs>
    </w:pPr>
  </w:style>
  <w:style w:type="character" w:customStyle="1" w:styleId="FooterChar">
    <w:name w:val="Footer Char"/>
    <w:basedOn w:val="DefaultParagraphFont"/>
    <w:link w:val="Footer"/>
    <w:uiPriority w:val="99"/>
    <w:rsid w:val="00060CD5"/>
    <w:rPr>
      <w:kern w:val="0"/>
      <w:lang w:val="en-GB"/>
      <w14:ligatures w14:val="none"/>
    </w:rPr>
  </w:style>
  <w:style w:type="paragraph" w:customStyle="1" w:styleId="paragraph">
    <w:name w:val="paragraph"/>
    <w:basedOn w:val="Normal"/>
    <w:rsid w:val="00060CD5"/>
    <w:pPr>
      <w:spacing w:before="100" w:beforeAutospacing="1" w:after="100" w:afterAutospacing="1"/>
    </w:pPr>
    <w:rPr>
      <w:rFonts w:ascii="Times New Roman" w:eastAsia="Times New Roman" w:hAnsi="Times New Roman" w:cs="Times New Roman"/>
      <w:lang w:val="en-IN" w:eastAsia="en-IN"/>
    </w:rPr>
  </w:style>
  <w:style w:type="character" w:customStyle="1" w:styleId="normaltextrun">
    <w:name w:val="normaltextrun"/>
    <w:basedOn w:val="DefaultParagraphFont"/>
    <w:rsid w:val="00060CD5"/>
  </w:style>
  <w:style w:type="table" w:styleId="GridTable2-Accent3">
    <w:name w:val="Grid Table 2 Accent 3"/>
    <w:basedOn w:val="TableNormal"/>
    <w:uiPriority w:val="47"/>
    <w:rsid w:val="00060CD5"/>
    <w:rPr>
      <w:kern w:val="0"/>
      <w:sz w:val="22"/>
      <w:szCs w:val="22"/>
      <w14:ligatures w14:val="non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060CD5"/>
    <w:pPr>
      <w:contextualSpacing/>
    </w:pPr>
    <w:rPr>
      <w:rFonts w:asciiTheme="majorHAnsi" w:eastAsiaTheme="majorEastAsia" w:hAnsiTheme="majorHAnsi" w:cstheme="majorBidi"/>
      <w:color w:val="4472C4" w:themeColor="accent1"/>
      <w:spacing w:val="-10"/>
      <w:kern w:val="28"/>
      <w:sz w:val="40"/>
      <w:szCs w:val="56"/>
    </w:rPr>
  </w:style>
  <w:style w:type="character" w:customStyle="1" w:styleId="TitleChar">
    <w:name w:val="Title Char"/>
    <w:basedOn w:val="DefaultParagraphFont"/>
    <w:link w:val="Title"/>
    <w:uiPriority w:val="10"/>
    <w:rsid w:val="00060CD5"/>
    <w:rPr>
      <w:rFonts w:asciiTheme="majorHAnsi" w:eastAsiaTheme="majorEastAsia" w:hAnsiTheme="majorHAnsi" w:cstheme="majorBidi"/>
      <w:color w:val="4472C4" w:themeColor="accent1"/>
      <w:spacing w:val="-10"/>
      <w:kern w:val="28"/>
      <w:sz w:val="40"/>
      <w:szCs w:val="56"/>
      <w:lang w:val="en-GB"/>
      <w14:ligatures w14:val="none"/>
    </w:rPr>
  </w:style>
  <w:style w:type="character" w:styleId="Hyperlink">
    <w:name w:val="Hyperlink"/>
    <w:basedOn w:val="DefaultParagraphFont"/>
    <w:uiPriority w:val="99"/>
    <w:unhideWhenUsed/>
    <w:rsid w:val="00060CD5"/>
    <w:rPr>
      <w:color w:val="0563C1" w:themeColor="hyperlink"/>
      <w:u w:val="single"/>
    </w:rPr>
  </w:style>
  <w:style w:type="paragraph" w:styleId="FootnoteText">
    <w:name w:val="footnote text"/>
    <w:basedOn w:val="Normal"/>
    <w:link w:val="FootnoteTextChar"/>
    <w:uiPriority w:val="99"/>
    <w:semiHidden/>
    <w:unhideWhenUsed/>
    <w:rsid w:val="00060CD5"/>
    <w:rPr>
      <w:sz w:val="20"/>
      <w:szCs w:val="20"/>
    </w:rPr>
  </w:style>
  <w:style w:type="character" w:customStyle="1" w:styleId="FootnoteTextChar">
    <w:name w:val="Footnote Text Char"/>
    <w:basedOn w:val="DefaultParagraphFont"/>
    <w:link w:val="FootnoteText"/>
    <w:uiPriority w:val="99"/>
    <w:semiHidden/>
    <w:rsid w:val="00060CD5"/>
    <w:rPr>
      <w:kern w:val="0"/>
      <w:sz w:val="20"/>
      <w:szCs w:val="20"/>
      <w:lang w:val="en-GB"/>
      <w14:ligatures w14:val="none"/>
    </w:rPr>
  </w:style>
  <w:style w:type="character" w:styleId="FootnoteReference">
    <w:name w:val="footnote reference"/>
    <w:basedOn w:val="DefaultParagraphFont"/>
    <w:uiPriority w:val="99"/>
    <w:semiHidden/>
    <w:unhideWhenUsed/>
    <w:rsid w:val="00060CD5"/>
    <w:rPr>
      <w:vertAlign w:val="superscript"/>
    </w:rPr>
  </w:style>
  <w:style w:type="character" w:styleId="EndnoteReference">
    <w:name w:val="endnote reference"/>
    <w:basedOn w:val="DefaultParagraphFont"/>
    <w:uiPriority w:val="99"/>
    <w:semiHidden/>
    <w:unhideWhenUsed/>
    <w:rsid w:val="003A4567"/>
    <w:rPr>
      <w:vertAlign w:val="superscript"/>
    </w:rPr>
  </w:style>
  <w:style w:type="character" w:customStyle="1" w:styleId="Heading1Char">
    <w:name w:val="Heading 1 Char"/>
    <w:basedOn w:val="DefaultParagraphFont"/>
    <w:link w:val="Heading1"/>
    <w:uiPriority w:val="9"/>
    <w:rsid w:val="003A4567"/>
    <w:rPr>
      <w:rFonts w:asciiTheme="majorHAnsi" w:eastAsiaTheme="majorEastAsia" w:hAnsiTheme="majorHAnsi" w:cstheme="majorBidi"/>
      <w:color w:val="2F5496" w:themeColor="accent1" w:themeShade="BF"/>
      <w:kern w:val="0"/>
      <w:sz w:val="32"/>
      <w:szCs w:val="32"/>
      <w:lang w:val="en-GB"/>
      <w14:ligatures w14:val="none"/>
    </w:rPr>
  </w:style>
  <w:style w:type="table" w:styleId="TableGrid">
    <w:name w:val="Table Grid"/>
    <w:basedOn w:val="TableNormal"/>
    <w:uiPriority w:val="59"/>
    <w:rsid w:val="003A4567"/>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mailto:kalyan@iimv.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dc:creator>
  <cp:keywords/>
  <dc:description/>
  <cp:lastModifiedBy>Kalyan K</cp:lastModifiedBy>
  <cp:revision>2</cp:revision>
  <dcterms:created xsi:type="dcterms:W3CDTF">2023-07-01T08:18:00Z</dcterms:created>
  <dcterms:modified xsi:type="dcterms:W3CDTF">2023-07-04T05:59:00Z</dcterms:modified>
</cp:coreProperties>
</file>